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72CF" w14:textId="4DA85F57" w:rsidR="00F9765D" w:rsidRDefault="00F9765D" w:rsidP="00F9765D">
      <w:pPr>
        <w:pStyle w:val="Title"/>
      </w:pPr>
      <w:bookmarkStart w:id="0" w:name="_k7iees79vm1c" w:colFirst="0" w:colLast="0"/>
      <w:bookmarkEnd w:id="0"/>
      <w:r>
        <w:t xml:space="preserve">Référentiel de bonnes pratiques </w:t>
      </w:r>
      <w:r w:rsidR="009F5C66">
        <w:t>en</w:t>
      </w:r>
      <w:r>
        <w:t xml:space="preserve"> sobriété numérique</w:t>
      </w:r>
    </w:p>
    <w:p w14:paraId="46A1A845" w14:textId="77777777" w:rsidR="00F9765D" w:rsidRPr="00F9765D" w:rsidRDefault="00F9765D" w:rsidP="00F9765D"/>
    <w:p w14:paraId="46E258A0" w14:textId="77777777" w:rsidR="00F9765D" w:rsidRDefault="00F9765D" w:rsidP="00F9765D">
      <w:pPr>
        <w:jc w:val="both"/>
      </w:pPr>
      <w:r>
        <w:t>Nos interactions avec la technologie sont omniprésentes et transforment nos manières d'apprendre, d'enseigner, de chercher et de collaborer.</w:t>
      </w:r>
    </w:p>
    <w:p w14:paraId="746EBB7A" w14:textId="77777777" w:rsidR="00F9765D" w:rsidRDefault="00F9765D" w:rsidP="00F9765D">
      <w:pPr>
        <w:jc w:val="both"/>
      </w:pPr>
    </w:p>
    <w:p w14:paraId="571B30DA" w14:textId="77777777" w:rsidR="00F9765D" w:rsidRDefault="00F9765D" w:rsidP="00F9765D">
      <w:pPr>
        <w:jc w:val="both"/>
      </w:pPr>
      <w:r>
        <w:t xml:space="preserve">Consciente de notre rôle dans la transition vers une société soutenable, Université de Montréal, </w:t>
      </w:r>
      <w:r>
        <w:rPr>
          <w:sz w:val="23"/>
          <w:szCs w:val="23"/>
          <w:shd w:val="clear" w:color="auto" w:fill="FFFFFF"/>
        </w:rPr>
        <w:t xml:space="preserve">Polytechnique Montréal, HEC Montréal, Université TÉLUQ et le </w:t>
      </w:r>
      <w:r>
        <w:t xml:space="preserve">Collectif Numérique Responsable et Soutenable ont décidé de porter la sobriété numérique comme nouvel axe de travail pour porter cette ambition. </w:t>
      </w:r>
    </w:p>
    <w:p w14:paraId="492E0D03" w14:textId="77777777" w:rsidR="00F9765D" w:rsidRDefault="00F9765D" w:rsidP="00F9765D">
      <w:pPr>
        <w:jc w:val="both"/>
      </w:pPr>
    </w:p>
    <w:p w14:paraId="06B60290" w14:textId="77777777" w:rsidR="00F9765D" w:rsidRDefault="00F9765D" w:rsidP="00F9765D">
      <w:pPr>
        <w:jc w:val="both"/>
        <w:rPr>
          <w:color w:val="E2E2E5"/>
          <w:sz w:val="21"/>
          <w:szCs w:val="21"/>
        </w:rPr>
      </w:pPr>
      <w:r>
        <w:t>Le présent référentiel de bonnes pratiques est le prolongement direct de cet engagement. Il se veut un outil concret pour accompagner chaque membre de notre communauté – étudiants, corps enseignant, chercheurs et personnel administratif – vers des pratiques numériques allant dans le sens d’une soutenabilité environnementale forte.</w:t>
      </w:r>
    </w:p>
    <w:p w14:paraId="0F8CF2F5" w14:textId="77777777" w:rsidR="00F9765D" w:rsidRDefault="00F9765D" w:rsidP="00F9765D">
      <w:pPr>
        <w:pStyle w:val="Heading4"/>
      </w:pPr>
      <w:bookmarkStart w:id="1" w:name="_ocd55wli3qzh" w:colFirst="0" w:colLast="0"/>
      <w:bookmarkEnd w:id="1"/>
      <w:r>
        <w:t>Pourquoi ce guide ?</w:t>
      </w:r>
    </w:p>
    <w:p w14:paraId="2D514DAA" w14:textId="77777777" w:rsidR="00F9765D" w:rsidRDefault="00F9765D" w:rsidP="00F9765D">
      <w:pPr>
        <w:jc w:val="both"/>
      </w:pPr>
      <w:r>
        <w:t>Ce guide s'inscrit dans une démarche non contraignante. L'objectif est d’outiller et d’adapter des meilleurs pratiques d’usage du numérique pour :</w:t>
      </w:r>
    </w:p>
    <w:p w14:paraId="231D3020" w14:textId="77777777" w:rsidR="00F9765D" w:rsidRDefault="00F9765D" w:rsidP="00F9765D">
      <w:pPr>
        <w:numPr>
          <w:ilvl w:val="0"/>
          <w:numId w:val="2"/>
        </w:numPr>
      </w:pPr>
      <w:r>
        <w:t>Comprendre et mesurer les impacts de nos usages numériques.</w:t>
      </w:r>
    </w:p>
    <w:p w14:paraId="31CC0C66" w14:textId="77777777" w:rsidR="00F9765D" w:rsidRDefault="00F9765D" w:rsidP="00F9765D">
      <w:pPr>
        <w:numPr>
          <w:ilvl w:val="0"/>
          <w:numId w:val="2"/>
        </w:numPr>
      </w:pPr>
      <w:r>
        <w:t>Minimiser ces impacts, via des leviers facilement actionnables.</w:t>
      </w:r>
    </w:p>
    <w:p w14:paraId="7C04778C" w14:textId="77777777" w:rsidR="00F9765D" w:rsidRDefault="00F9765D" w:rsidP="00F9765D">
      <w:pPr>
        <w:numPr>
          <w:ilvl w:val="0"/>
          <w:numId w:val="2"/>
        </w:numPr>
      </w:pPr>
      <w:r>
        <w:t>Incarner nos valeurs, en alignant nos pratiques numériques avec nos missions d'enseignement, de recherche et notre responsabilité sociétale.</w:t>
      </w:r>
    </w:p>
    <w:p w14:paraId="526B3589" w14:textId="77777777" w:rsidR="00F9765D" w:rsidRDefault="00F9765D" w:rsidP="00F9765D">
      <w:pPr>
        <w:pStyle w:val="Heading4"/>
      </w:pPr>
      <w:bookmarkStart w:id="2" w:name="_3mxim8gel1lm" w:colFirst="0" w:colLast="0"/>
      <w:bookmarkEnd w:id="2"/>
      <w:r>
        <w:t>Comment utiliser ce référentiel au quotidien ?</w:t>
      </w:r>
    </w:p>
    <w:p w14:paraId="75F1B663" w14:textId="77777777" w:rsidR="00F9765D" w:rsidRDefault="00F9765D" w:rsidP="00F9765D">
      <w:pPr>
        <w:jc w:val="both"/>
      </w:pPr>
      <w:r>
        <w:t>Ce document a été pensé pour être facile d'utilisation. Il est structuré autour de besoins que vous rencontrez régulièrement quel que soit votre rôle dans l’université : "Je souhaite gagner en efficience dans mon travail avec l'IA", "Je souhaite gérer responsablement mes équipements", "Je recherche un nouveau site web ou une nouvelle application", etc.</w:t>
      </w:r>
    </w:p>
    <w:p w14:paraId="54EEEA33" w14:textId="77777777" w:rsidR="00F9765D" w:rsidRDefault="00F9765D" w:rsidP="00F9765D">
      <w:pPr>
        <w:jc w:val="both"/>
      </w:pPr>
    </w:p>
    <w:p w14:paraId="6C9B98A4" w14:textId="77777777" w:rsidR="00F9765D" w:rsidRDefault="00F9765D" w:rsidP="00F9765D">
      <w:pPr>
        <w:jc w:val="both"/>
      </w:pPr>
      <w:r>
        <w:t xml:space="preserve">Pour chaque cas d'usage, vous trouverez des recommandations et des actions que vous pouvez mettre en œuvre immédiatement. </w:t>
      </w:r>
    </w:p>
    <w:p w14:paraId="283BBDEC" w14:textId="77777777" w:rsidR="00F9765D" w:rsidRDefault="00F9765D" w:rsidP="00F9765D">
      <w:pPr>
        <w:jc w:val="both"/>
      </w:pPr>
    </w:p>
    <w:p w14:paraId="16F1C168" w14:textId="77777777" w:rsidR="00F9765D" w:rsidRDefault="00F9765D" w:rsidP="00F9765D">
      <w:pPr>
        <w:jc w:val="both"/>
      </w:pPr>
      <w:r>
        <w:t xml:space="preserve">Ce guide est un document vivant, qui évoluera avec nos pratiques et nos engagements. Nous vous invitons à vous l'approprier, à l'expérimenter et à le faire vivre au sein de votre établissement. </w:t>
      </w:r>
    </w:p>
    <w:p w14:paraId="447B3623" w14:textId="4F2FD544" w:rsidR="001B0730" w:rsidRDefault="00000000">
      <w:pPr>
        <w:jc w:val="both"/>
      </w:pPr>
      <w:r>
        <w:br w:type="page"/>
      </w:r>
    </w:p>
    <w:p w14:paraId="45D8ADA3" w14:textId="77777777" w:rsidR="001B0730" w:rsidRDefault="00000000">
      <w:pPr>
        <w:pStyle w:val="Heading1"/>
        <w:rPr>
          <w:color w:val="000000"/>
          <w:sz w:val="22"/>
          <w:szCs w:val="22"/>
        </w:rPr>
      </w:pPr>
      <w:r>
        <w:lastRenderedPageBreak/>
        <w:t>1 - Je souhaite gagner en efficience dans mon travail avec l'IA.</w:t>
      </w:r>
    </w:p>
    <w:p w14:paraId="248A26A6" w14:textId="77777777" w:rsidR="001B0730" w:rsidRDefault="001B0730"/>
    <w:tbl>
      <w:tblPr>
        <w:tblStyle w:val="a"/>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2808249A" w14:textId="77777777">
        <w:trPr>
          <w:jc w:val="center"/>
        </w:trPr>
        <w:tc>
          <w:tcPr>
            <w:tcW w:w="3500" w:type="dxa"/>
            <w:tcMar>
              <w:top w:w="100" w:type="dxa"/>
              <w:left w:w="100" w:type="dxa"/>
              <w:bottom w:w="100" w:type="dxa"/>
              <w:right w:w="100" w:type="dxa"/>
            </w:tcMar>
          </w:tcPr>
          <w:p w14:paraId="62F97F60" w14:textId="362377C9"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1898743F"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2BB05DB8" w14:textId="77777777" w:rsidR="001B0730" w:rsidRDefault="00000000">
            <w:pPr>
              <w:widowControl w:val="0"/>
              <w:spacing w:line="240" w:lineRule="auto"/>
            </w:pPr>
            <w:r>
              <w:t>Dimensions</w:t>
            </w:r>
          </w:p>
        </w:tc>
      </w:tr>
      <w:tr w:rsidR="001B0730" w14:paraId="2AC1BB71" w14:textId="77777777">
        <w:trPr>
          <w:jc w:val="center"/>
        </w:trPr>
        <w:tc>
          <w:tcPr>
            <w:tcW w:w="3500" w:type="dxa"/>
            <w:tcMar>
              <w:top w:w="100" w:type="dxa"/>
              <w:left w:w="100" w:type="dxa"/>
              <w:bottom w:w="100" w:type="dxa"/>
              <w:right w:w="100" w:type="dxa"/>
            </w:tcMar>
          </w:tcPr>
          <w:p w14:paraId="5B70E9BB" w14:textId="77777777" w:rsidR="001B0730" w:rsidRDefault="00000000">
            <w:r>
              <w:t>Faire les bons choix d'utilisation de l'IA</w:t>
            </w:r>
          </w:p>
        </w:tc>
        <w:tc>
          <w:tcPr>
            <w:tcW w:w="3500" w:type="dxa"/>
            <w:tcMar>
              <w:top w:w="100" w:type="dxa"/>
              <w:left w:w="100" w:type="dxa"/>
              <w:bottom w:w="100" w:type="dxa"/>
              <w:right w:w="100" w:type="dxa"/>
            </w:tcMar>
          </w:tcPr>
          <w:p w14:paraId="15C39735" w14:textId="77777777" w:rsidR="001B0730" w:rsidRDefault="00000000">
            <w:r>
              <w:rPr>
                <w:i/>
                <w:sz w:val="20"/>
                <w:szCs w:val="20"/>
              </w:rPr>
              <w:t>Privilégier des IA auto-hébergées que l’on peut faire tourner en local sur son propre ordinateur ou serveur.</w:t>
            </w:r>
            <w:r>
              <w:rPr>
                <w:i/>
                <w:sz w:val="20"/>
                <w:szCs w:val="20"/>
              </w:rPr>
              <w:br/>
              <w:t xml:space="preserve">Favoriser des IA hébergées dans des juridictions respectueuses de la vie privée et de l’environnement (hors US à cause du Cloud </w:t>
            </w:r>
            <w:proofErr w:type="spellStart"/>
            <w:r>
              <w:rPr>
                <w:i/>
                <w:sz w:val="20"/>
                <w:szCs w:val="20"/>
              </w:rPr>
              <w:t>Act</w:t>
            </w:r>
            <w:proofErr w:type="spellEnd"/>
            <w:r>
              <w:rPr>
                <w:i/>
                <w:sz w:val="20"/>
                <w:szCs w:val="20"/>
              </w:rPr>
              <w:t>).</w:t>
            </w:r>
          </w:p>
        </w:tc>
        <w:tc>
          <w:tcPr>
            <w:tcW w:w="3500" w:type="dxa"/>
            <w:tcMar>
              <w:top w:w="100" w:type="dxa"/>
              <w:left w:w="100" w:type="dxa"/>
              <w:bottom w:w="100" w:type="dxa"/>
              <w:right w:w="100" w:type="dxa"/>
            </w:tcMar>
          </w:tcPr>
          <w:p w14:paraId="0B8C91CA" w14:textId="77777777" w:rsidR="001B0730" w:rsidRDefault="00000000">
            <w:r>
              <w:rPr>
                <w:sz w:val="20"/>
                <w:szCs w:val="20"/>
              </w:rPr>
              <w:t>4- Gestion des usages</w:t>
            </w:r>
          </w:p>
        </w:tc>
      </w:tr>
      <w:tr w:rsidR="001B0730" w14:paraId="309A8594" w14:textId="77777777">
        <w:trPr>
          <w:jc w:val="center"/>
        </w:trPr>
        <w:tc>
          <w:tcPr>
            <w:tcW w:w="3500" w:type="dxa"/>
            <w:tcMar>
              <w:top w:w="100" w:type="dxa"/>
              <w:left w:w="100" w:type="dxa"/>
              <w:bottom w:w="100" w:type="dxa"/>
              <w:right w:w="100" w:type="dxa"/>
            </w:tcMar>
          </w:tcPr>
          <w:p w14:paraId="65409559" w14:textId="77777777" w:rsidR="001B0730" w:rsidRDefault="00000000">
            <w:r>
              <w:t>Privilégier d’autres solutions à l’IA générative</w:t>
            </w:r>
          </w:p>
        </w:tc>
        <w:tc>
          <w:tcPr>
            <w:tcW w:w="3500" w:type="dxa"/>
            <w:tcMar>
              <w:top w:w="100" w:type="dxa"/>
              <w:left w:w="100" w:type="dxa"/>
              <w:bottom w:w="100" w:type="dxa"/>
              <w:right w:w="100" w:type="dxa"/>
            </w:tcMar>
          </w:tcPr>
          <w:p w14:paraId="79AE531E" w14:textId="77777777" w:rsidR="001B0730" w:rsidRDefault="00000000">
            <w:r>
              <w:rPr>
                <w:i/>
                <w:sz w:val="20"/>
                <w:szCs w:val="20"/>
              </w:rPr>
              <w:t>Préférer les moteurs de recherches à l’IA générative lorsqu’ils peuvent offrir le même service.</w:t>
            </w:r>
            <w:r>
              <w:rPr>
                <w:i/>
                <w:sz w:val="20"/>
                <w:szCs w:val="20"/>
              </w:rPr>
              <w:br/>
              <w:t xml:space="preserve">Éviter l'utilisation de l'IA générative pour générer des images ou des vidéos. </w:t>
            </w:r>
          </w:p>
        </w:tc>
        <w:tc>
          <w:tcPr>
            <w:tcW w:w="3500" w:type="dxa"/>
            <w:tcMar>
              <w:top w:w="100" w:type="dxa"/>
              <w:left w:w="100" w:type="dxa"/>
              <w:bottom w:w="100" w:type="dxa"/>
              <w:right w:w="100" w:type="dxa"/>
            </w:tcMar>
          </w:tcPr>
          <w:p w14:paraId="2FB7934C" w14:textId="77777777" w:rsidR="001B0730" w:rsidRDefault="00000000">
            <w:r>
              <w:rPr>
                <w:sz w:val="20"/>
                <w:szCs w:val="20"/>
              </w:rPr>
              <w:t>4- Gestion des usages</w:t>
            </w:r>
          </w:p>
        </w:tc>
      </w:tr>
      <w:tr w:rsidR="001B0730" w14:paraId="6BC4398E" w14:textId="77777777">
        <w:trPr>
          <w:jc w:val="center"/>
        </w:trPr>
        <w:tc>
          <w:tcPr>
            <w:tcW w:w="3500" w:type="dxa"/>
            <w:tcMar>
              <w:top w:w="100" w:type="dxa"/>
              <w:left w:w="100" w:type="dxa"/>
              <w:bottom w:w="100" w:type="dxa"/>
              <w:right w:w="100" w:type="dxa"/>
            </w:tcMar>
          </w:tcPr>
          <w:p w14:paraId="330356BC" w14:textId="77777777" w:rsidR="001B0730" w:rsidRDefault="00000000">
            <w:r>
              <w:t>Raisonner son utilisation de l'IA</w:t>
            </w:r>
          </w:p>
        </w:tc>
        <w:tc>
          <w:tcPr>
            <w:tcW w:w="3500" w:type="dxa"/>
            <w:tcMar>
              <w:top w:w="100" w:type="dxa"/>
              <w:left w:w="100" w:type="dxa"/>
              <w:bottom w:w="100" w:type="dxa"/>
              <w:right w:w="100" w:type="dxa"/>
            </w:tcMar>
          </w:tcPr>
          <w:p w14:paraId="22232737" w14:textId="77777777" w:rsidR="001B0730" w:rsidRDefault="00000000">
            <w:r>
              <w:rPr>
                <w:i/>
                <w:sz w:val="20"/>
                <w:szCs w:val="20"/>
              </w:rPr>
              <w:t xml:space="preserve">Choisir le modèle adapté à son usage : </w:t>
            </w:r>
            <w:r>
              <w:rPr>
                <w:i/>
                <w:sz w:val="20"/>
                <w:szCs w:val="20"/>
              </w:rPr>
              <w:br/>
              <w:t>Privilégier des IA spécifiques (traduction, orthographe, production de texte) plutôt que génératives.</w:t>
            </w:r>
            <w:r>
              <w:rPr>
                <w:i/>
                <w:sz w:val="20"/>
                <w:szCs w:val="20"/>
              </w:rPr>
              <w:br/>
              <w:t>Privilégier des IA dites « légères » suffisantes pour des tâches simples et courantes (rédaction, traitement de données structurées) plutôt que des modèles de raisonnement lourds (GPT-4, Claude, Gemini, etc.) pour les tâches simples.</w:t>
            </w:r>
            <w:r>
              <w:rPr>
                <w:i/>
                <w:sz w:val="20"/>
                <w:szCs w:val="20"/>
              </w:rPr>
              <w:br/>
            </w:r>
            <w:r>
              <w:rPr>
                <w:i/>
                <w:sz w:val="20"/>
                <w:szCs w:val="20"/>
              </w:rPr>
              <w:br/>
              <w:t>Dans le déploiement de service d'IA, ne jamais automatiser l'appel au service d'IA car cela doit rester une action délibérée et consciente de l'utilisateur qui la déclenche.</w:t>
            </w:r>
          </w:p>
        </w:tc>
        <w:tc>
          <w:tcPr>
            <w:tcW w:w="3500" w:type="dxa"/>
            <w:tcMar>
              <w:top w:w="100" w:type="dxa"/>
              <w:left w:w="100" w:type="dxa"/>
              <w:bottom w:w="100" w:type="dxa"/>
              <w:right w:w="100" w:type="dxa"/>
            </w:tcMar>
          </w:tcPr>
          <w:p w14:paraId="39A4364F" w14:textId="77777777" w:rsidR="001B0730" w:rsidRDefault="00000000">
            <w:r>
              <w:rPr>
                <w:sz w:val="20"/>
                <w:szCs w:val="20"/>
              </w:rPr>
              <w:t>4- Gestion des usages</w:t>
            </w:r>
          </w:p>
        </w:tc>
      </w:tr>
    </w:tbl>
    <w:p w14:paraId="61E0FA04" w14:textId="77777777" w:rsidR="001B0730" w:rsidRDefault="001B0730">
      <w:pPr>
        <w:widowControl w:val="0"/>
        <w:pBdr>
          <w:top w:val="nil"/>
          <w:left w:val="nil"/>
          <w:bottom w:val="nil"/>
          <w:right w:val="nil"/>
          <w:between w:val="nil"/>
        </w:pBdr>
        <w:rPr>
          <w:color w:val="000000"/>
        </w:rPr>
      </w:pPr>
    </w:p>
    <w:p w14:paraId="0EE447FE" w14:textId="77777777" w:rsidR="001B0730" w:rsidRDefault="001B0730">
      <w:pPr>
        <w:widowControl w:val="0"/>
        <w:pBdr>
          <w:top w:val="nil"/>
          <w:left w:val="nil"/>
          <w:bottom w:val="nil"/>
          <w:right w:val="nil"/>
          <w:between w:val="nil"/>
        </w:pBdr>
        <w:rPr>
          <w:color w:val="000000"/>
        </w:rPr>
      </w:pPr>
    </w:p>
    <w:p w14:paraId="66AA9B43" w14:textId="77777777" w:rsidR="001B0730" w:rsidRDefault="001B0730">
      <w:pPr>
        <w:rPr>
          <w:color w:val="000000"/>
        </w:rPr>
      </w:pPr>
    </w:p>
    <w:p w14:paraId="3A1337D3" w14:textId="77777777" w:rsidR="001B0730" w:rsidRDefault="001B0730">
      <w:pPr>
        <w:rPr>
          <w:i/>
          <w:color w:val="E2E2E5"/>
          <w:sz w:val="20"/>
          <w:szCs w:val="20"/>
          <w:shd w:val="clear" w:color="auto" w:fill="1A1C1E"/>
        </w:rPr>
      </w:pPr>
    </w:p>
    <w:p w14:paraId="0E51755E" w14:textId="77777777" w:rsidR="001B0730" w:rsidRDefault="00000000">
      <w:pPr>
        <w:widowControl w:val="0"/>
        <w:pBdr>
          <w:top w:val="nil"/>
          <w:left w:val="nil"/>
          <w:bottom w:val="nil"/>
          <w:right w:val="nil"/>
          <w:between w:val="nil"/>
        </w:pBdr>
        <w:rPr>
          <w:color w:val="000000"/>
        </w:rPr>
      </w:pPr>
      <w:r>
        <w:br w:type="page"/>
      </w:r>
    </w:p>
    <w:p w14:paraId="66105736" w14:textId="77777777" w:rsidR="001B0730" w:rsidRDefault="001B0730">
      <w:pPr>
        <w:rPr>
          <w:color w:val="000000"/>
        </w:rPr>
      </w:pPr>
    </w:p>
    <w:p w14:paraId="1BEE9813" w14:textId="77777777" w:rsidR="001B0730" w:rsidRDefault="00000000">
      <w:pPr>
        <w:pStyle w:val="Heading1"/>
        <w:rPr>
          <w:color w:val="000000"/>
          <w:sz w:val="22"/>
          <w:szCs w:val="22"/>
        </w:rPr>
      </w:pPr>
      <w:r>
        <w:t>2 - Je souhaite adopter des pratiques responsables pour le travail à distance.</w:t>
      </w:r>
    </w:p>
    <w:p w14:paraId="2B4CC222" w14:textId="77777777" w:rsidR="001B0730" w:rsidRDefault="001B0730"/>
    <w:tbl>
      <w:tblPr>
        <w:tblStyle w:val="a0"/>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6ACA6BF8" w14:textId="77777777">
        <w:trPr>
          <w:jc w:val="center"/>
        </w:trPr>
        <w:tc>
          <w:tcPr>
            <w:tcW w:w="3500" w:type="dxa"/>
            <w:tcMar>
              <w:top w:w="100" w:type="dxa"/>
              <w:left w:w="100" w:type="dxa"/>
              <w:bottom w:w="100" w:type="dxa"/>
              <w:right w:w="100" w:type="dxa"/>
            </w:tcMar>
          </w:tcPr>
          <w:p w14:paraId="3AC052CA" w14:textId="66B6E505"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7F34F150"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2D1A736A" w14:textId="77777777" w:rsidR="001B0730" w:rsidRDefault="00000000">
            <w:pPr>
              <w:widowControl w:val="0"/>
              <w:spacing w:line="240" w:lineRule="auto"/>
            </w:pPr>
            <w:r>
              <w:t>Dimensions</w:t>
            </w:r>
          </w:p>
        </w:tc>
      </w:tr>
      <w:tr w:rsidR="001B0730" w14:paraId="02AB91E3" w14:textId="77777777">
        <w:trPr>
          <w:jc w:val="center"/>
        </w:trPr>
        <w:tc>
          <w:tcPr>
            <w:tcW w:w="3500" w:type="dxa"/>
            <w:tcMar>
              <w:top w:w="100" w:type="dxa"/>
              <w:left w:w="100" w:type="dxa"/>
              <w:bottom w:w="100" w:type="dxa"/>
              <w:right w:w="100" w:type="dxa"/>
            </w:tcMar>
          </w:tcPr>
          <w:p w14:paraId="729CE75A" w14:textId="77777777" w:rsidR="001B0730" w:rsidRDefault="00000000">
            <w:r>
              <w:t>Favoriser l'enseignement hybride et asynchrone</w:t>
            </w:r>
          </w:p>
        </w:tc>
        <w:tc>
          <w:tcPr>
            <w:tcW w:w="3500" w:type="dxa"/>
            <w:tcMar>
              <w:top w:w="100" w:type="dxa"/>
              <w:left w:w="100" w:type="dxa"/>
              <w:bottom w:w="100" w:type="dxa"/>
              <w:right w:w="100" w:type="dxa"/>
            </w:tcMar>
          </w:tcPr>
          <w:p w14:paraId="08645505" w14:textId="77777777" w:rsidR="001B0730" w:rsidRDefault="00000000">
            <w:r>
              <w:rPr>
                <w:i/>
                <w:sz w:val="20"/>
                <w:szCs w:val="20"/>
              </w:rPr>
              <w:t>Encourager des formats pédagogiques qui réduisent la consommation énergétique liée aux outils numériques. Par exemple, privilégier les ressources accessibles hors ligne et les activités asynchrones plutôt que les visioconférences systématiques, qui peuvent être gourmandes en énergie.</w:t>
            </w:r>
          </w:p>
        </w:tc>
        <w:tc>
          <w:tcPr>
            <w:tcW w:w="3500" w:type="dxa"/>
            <w:tcMar>
              <w:top w:w="100" w:type="dxa"/>
              <w:left w:w="100" w:type="dxa"/>
              <w:bottom w:w="100" w:type="dxa"/>
              <w:right w:w="100" w:type="dxa"/>
            </w:tcMar>
          </w:tcPr>
          <w:p w14:paraId="0C1E54E5" w14:textId="77777777" w:rsidR="001B0730" w:rsidRDefault="00000000">
            <w:r>
              <w:rPr>
                <w:sz w:val="20"/>
                <w:szCs w:val="20"/>
              </w:rPr>
              <w:t>5- Formation</w:t>
            </w:r>
          </w:p>
        </w:tc>
      </w:tr>
    </w:tbl>
    <w:p w14:paraId="0B0869E4" w14:textId="77777777" w:rsidR="001B0730" w:rsidRDefault="001B0730">
      <w:pPr>
        <w:widowControl w:val="0"/>
        <w:pBdr>
          <w:top w:val="nil"/>
          <w:left w:val="nil"/>
          <w:bottom w:val="nil"/>
          <w:right w:val="nil"/>
          <w:between w:val="nil"/>
        </w:pBdr>
        <w:rPr>
          <w:color w:val="000000"/>
        </w:rPr>
      </w:pPr>
    </w:p>
    <w:p w14:paraId="5CD2FAB0" w14:textId="77777777" w:rsidR="001B0730" w:rsidRDefault="001B0730">
      <w:pPr>
        <w:widowControl w:val="0"/>
        <w:pBdr>
          <w:top w:val="nil"/>
          <w:left w:val="nil"/>
          <w:bottom w:val="nil"/>
          <w:right w:val="nil"/>
          <w:between w:val="nil"/>
        </w:pBdr>
        <w:rPr>
          <w:color w:val="000000"/>
        </w:rPr>
      </w:pPr>
    </w:p>
    <w:p w14:paraId="24E81EE0" w14:textId="77777777" w:rsidR="001B0730" w:rsidRDefault="001B0730">
      <w:pPr>
        <w:rPr>
          <w:color w:val="000000"/>
        </w:rPr>
      </w:pPr>
    </w:p>
    <w:p w14:paraId="77F545F9" w14:textId="77777777" w:rsidR="001B0730" w:rsidRDefault="001B0730">
      <w:pPr>
        <w:rPr>
          <w:i/>
          <w:color w:val="E2E2E5"/>
          <w:sz w:val="20"/>
          <w:szCs w:val="20"/>
          <w:shd w:val="clear" w:color="auto" w:fill="1A1C1E"/>
        </w:rPr>
      </w:pPr>
    </w:p>
    <w:p w14:paraId="178A500E" w14:textId="77777777" w:rsidR="001B0730" w:rsidRDefault="00000000">
      <w:pPr>
        <w:widowControl w:val="0"/>
        <w:pBdr>
          <w:top w:val="nil"/>
          <w:left w:val="nil"/>
          <w:bottom w:val="nil"/>
          <w:right w:val="nil"/>
          <w:between w:val="nil"/>
        </w:pBdr>
        <w:rPr>
          <w:color w:val="000000"/>
        </w:rPr>
      </w:pPr>
      <w:r>
        <w:br w:type="page"/>
      </w:r>
    </w:p>
    <w:p w14:paraId="302DE076" w14:textId="77777777" w:rsidR="001B0730" w:rsidRDefault="001B0730">
      <w:pPr>
        <w:rPr>
          <w:color w:val="000000"/>
        </w:rPr>
      </w:pPr>
    </w:p>
    <w:p w14:paraId="6B08CB42" w14:textId="77777777" w:rsidR="001B0730" w:rsidRDefault="00000000">
      <w:pPr>
        <w:pStyle w:val="Heading1"/>
        <w:rPr>
          <w:color w:val="000000"/>
          <w:sz w:val="22"/>
          <w:szCs w:val="22"/>
        </w:rPr>
      </w:pPr>
      <w:r>
        <w:t>3 - Je souhaite gérer responsablement la vie de mes équipements numériques de l'achat à la fin de vie en prolongeant au maximum leur utilisation.</w:t>
      </w:r>
    </w:p>
    <w:p w14:paraId="4B6A8C40" w14:textId="77777777" w:rsidR="001B0730" w:rsidRDefault="001B0730"/>
    <w:tbl>
      <w:tblPr>
        <w:tblStyle w:val="a1"/>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7DD5EA8A" w14:textId="77777777">
        <w:trPr>
          <w:jc w:val="center"/>
        </w:trPr>
        <w:tc>
          <w:tcPr>
            <w:tcW w:w="3500" w:type="dxa"/>
            <w:tcMar>
              <w:top w:w="100" w:type="dxa"/>
              <w:left w:w="100" w:type="dxa"/>
              <w:bottom w:w="100" w:type="dxa"/>
              <w:right w:w="100" w:type="dxa"/>
            </w:tcMar>
          </w:tcPr>
          <w:p w14:paraId="51935508" w14:textId="7F76B2A9"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1C31EF52"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42B6E758" w14:textId="77777777" w:rsidR="001B0730" w:rsidRDefault="00000000">
            <w:pPr>
              <w:widowControl w:val="0"/>
              <w:spacing w:line="240" w:lineRule="auto"/>
            </w:pPr>
            <w:r>
              <w:t>Dimensions</w:t>
            </w:r>
          </w:p>
        </w:tc>
      </w:tr>
      <w:tr w:rsidR="001B0730" w14:paraId="3D139D08" w14:textId="77777777">
        <w:trPr>
          <w:jc w:val="center"/>
        </w:trPr>
        <w:tc>
          <w:tcPr>
            <w:tcW w:w="3500" w:type="dxa"/>
            <w:tcMar>
              <w:top w:w="100" w:type="dxa"/>
              <w:left w:w="100" w:type="dxa"/>
              <w:bottom w:w="100" w:type="dxa"/>
              <w:right w:w="100" w:type="dxa"/>
            </w:tcMar>
          </w:tcPr>
          <w:p w14:paraId="1293AC98" w14:textId="77777777" w:rsidR="001B0730" w:rsidRDefault="00000000">
            <w:r>
              <w:t>Avoir une politique d’achats d’équipements numériques durables</w:t>
            </w:r>
          </w:p>
        </w:tc>
        <w:tc>
          <w:tcPr>
            <w:tcW w:w="3500" w:type="dxa"/>
            <w:tcMar>
              <w:top w:w="100" w:type="dxa"/>
              <w:left w:w="100" w:type="dxa"/>
              <w:bottom w:w="100" w:type="dxa"/>
              <w:right w:w="100" w:type="dxa"/>
            </w:tcMar>
          </w:tcPr>
          <w:p w14:paraId="4650EB75" w14:textId="77777777" w:rsidR="001B0730" w:rsidRDefault="00000000">
            <w:r>
              <w:rPr>
                <w:i/>
                <w:sz w:val="20"/>
                <w:szCs w:val="20"/>
              </w:rPr>
              <w:t>Questionner les besoins avant d'acheter.</w:t>
            </w:r>
            <w:r>
              <w:rPr>
                <w:i/>
                <w:sz w:val="20"/>
                <w:szCs w:val="20"/>
              </w:rPr>
              <w:br/>
              <w:t>Envisager la location d'équipements comme alternative si c'est pertinent.</w:t>
            </w:r>
            <w:r>
              <w:rPr>
                <w:i/>
                <w:sz w:val="20"/>
                <w:szCs w:val="20"/>
              </w:rPr>
              <w:br/>
              <w:t>Privilégier l'achat en reconditionné si c'est pertinent dans le contexte.</w:t>
            </w:r>
            <w:r>
              <w:rPr>
                <w:i/>
                <w:sz w:val="20"/>
                <w:szCs w:val="20"/>
              </w:rPr>
              <w:br/>
              <w:t>Pour le neuf, privilégier des achats d’équipements numériques labellisés, éthiques (engagements sur l'insertion professionnelle, le handicap, la maîtrise des risques relatifs aux violations des droits humains dans toute la chaîne d'approvisionnement, etc.), plus durables, réparables (batterie garantie) et recyclables.</w:t>
            </w:r>
          </w:p>
        </w:tc>
        <w:tc>
          <w:tcPr>
            <w:tcW w:w="3500" w:type="dxa"/>
            <w:tcMar>
              <w:top w:w="100" w:type="dxa"/>
              <w:left w:w="100" w:type="dxa"/>
              <w:bottom w:w="100" w:type="dxa"/>
              <w:right w:w="100" w:type="dxa"/>
            </w:tcMar>
          </w:tcPr>
          <w:p w14:paraId="2965AFBD" w14:textId="77777777" w:rsidR="001B0730" w:rsidRDefault="00000000">
            <w:r>
              <w:rPr>
                <w:sz w:val="20"/>
                <w:szCs w:val="20"/>
              </w:rPr>
              <w:t>3- Gestion des opérations</w:t>
            </w:r>
          </w:p>
        </w:tc>
      </w:tr>
      <w:tr w:rsidR="001B0730" w14:paraId="367D2876" w14:textId="77777777">
        <w:trPr>
          <w:jc w:val="center"/>
        </w:trPr>
        <w:tc>
          <w:tcPr>
            <w:tcW w:w="3500" w:type="dxa"/>
            <w:tcMar>
              <w:top w:w="100" w:type="dxa"/>
              <w:left w:w="100" w:type="dxa"/>
              <w:bottom w:w="100" w:type="dxa"/>
              <w:right w:w="100" w:type="dxa"/>
            </w:tcMar>
          </w:tcPr>
          <w:p w14:paraId="347C1EAA" w14:textId="77777777" w:rsidR="001B0730" w:rsidRDefault="00000000">
            <w:r>
              <w:t>Gérer les équipements de manière responsable</w:t>
            </w:r>
          </w:p>
        </w:tc>
        <w:tc>
          <w:tcPr>
            <w:tcW w:w="3500" w:type="dxa"/>
            <w:tcMar>
              <w:top w:w="100" w:type="dxa"/>
              <w:left w:w="100" w:type="dxa"/>
              <w:bottom w:w="100" w:type="dxa"/>
              <w:right w:w="100" w:type="dxa"/>
            </w:tcMar>
          </w:tcPr>
          <w:p w14:paraId="18B122AC" w14:textId="77777777" w:rsidR="001B0730" w:rsidRDefault="00000000">
            <w:r>
              <w:rPr>
                <w:i/>
                <w:sz w:val="20"/>
                <w:szCs w:val="20"/>
              </w:rPr>
              <w:t>Limiter la fréquence du renouvellement du parc.</w:t>
            </w:r>
            <w:r>
              <w:rPr>
                <w:i/>
                <w:sz w:val="20"/>
                <w:szCs w:val="20"/>
              </w:rPr>
              <w:br/>
              <w:t xml:space="preserve">Protéger, entretenir, réparer, réemployer les équipements. </w:t>
            </w:r>
            <w:r>
              <w:rPr>
                <w:i/>
                <w:sz w:val="20"/>
                <w:szCs w:val="20"/>
              </w:rPr>
              <w:br/>
              <w:t>Maintenir vos équipements à jour en privilégiant le remplacement des composants plutôt que l’entièreté de l’équipement.</w:t>
            </w:r>
            <w:r>
              <w:rPr>
                <w:i/>
                <w:sz w:val="20"/>
                <w:szCs w:val="20"/>
              </w:rPr>
              <w:br/>
              <w:t xml:space="preserve">Réduire le nombre d'équipement par personne. </w:t>
            </w:r>
            <w:r>
              <w:rPr>
                <w:i/>
                <w:sz w:val="20"/>
                <w:szCs w:val="20"/>
              </w:rPr>
              <w:br/>
              <w:t xml:space="preserve">Envisager la mutualisation de matériel (matériel qui n'est pas utilisé quotidiennement par exemple) et l'utilisation des équipements personnels dans un contexte professionnel. </w:t>
            </w:r>
            <w:r>
              <w:rPr>
                <w:i/>
                <w:sz w:val="20"/>
                <w:szCs w:val="20"/>
              </w:rPr>
              <w:br/>
              <w:t xml:space="preserve">Faire appel à un éco-organisme pour </w:t>
            </w:r>
            <w:r>
              <w:rPr>
                <w:i/>
                <w:sz w:val="20"/>
                <w:szCs w:val="20"/>
              </w:rPr>
              <w:lastRenderedPageBreak/>
              <w:t>la gestion des déchets d'équipements électriques et électroniques (DEEE).</w:t>
            </w:r>
          </w:p>
        </w:tc>
        <w:tc>
          <w:tcPr>
            <w:tcW w:w="3500" w:type="dxa"/>
            <w:tcMar>
              <w:top w:w="100" w:type="dxa"/>
              <w:left w:w="100" w:type="dxa"/>
              <w:bottom w:w="100" w:type="dxa"/>
              <w:right w:w="100" w:type="dxa"/>
            </w:tcMar>
          </w:tcPr>
          <w:p w14:paraId="5E8BDBD3" w14:textId="77777777" w:rsidR="001B0730" w:rsidRDefault="00000000">
            <w:r>
              <w:rPr>
                <w:sz w:val="20"/>
                <w:szCs w:val="20"/>
              </w:rPr>
              <w:lastRenderedPageBreak/>
              <w:t>3- Gestion des opérations</w:t>
            </w:r>
          </w:p>
        </w:tc>
      </w:tr>
    </w:tbl>
    <w:p w14:paraId="7A86058A" w14:textId="77777777" w:rsidR="001B0730" w:rsidRDefault="001B0730">
      <w:pPr>
        <w:widowControl w:val="0"/>
        <w:pBdr>
          <w:top w:val="nil"/>
          <w:left w:val="nil"/>
          <w:bottom w:val="nil"/>
          <w:right w:val="nil"/>
          <w:between w:val="nil"/>
        </w:pBdr>
        <w:rPr>
          <w:color w:val="000000"/>
        </w:rPr>
      </w:pPr>
    </w:p>
    <w:p w14:paraId="028F74B3" w14:textId="77777777" w:rsidR="001B0730" w:rsidRDefault="001B0730">
      <w:pPr>
        <w:widowControl w:val="0"/>
        <w:pBdr>
          <w:top w:val="nil"/>
          <w:left w:val="nil"/>
          <w:bottom w:val="nil"/>
          <w:right w:val="nil"/>
          <w:between w:val="nil"/>
        </w:pBdr>
        <w:rPr>
          <w:color w:val="000000"/>
        </w:rPr>
      </w:pPr>
    </w:p>
    <w:p w14:paraId="547CAA5A" w14:textId="77777777" w:rsidR="001B0730" w:rsidRDefault="001B0730">
      <w:pPr>
        <w:rPr>
          <w:color w:val="000000"/>
        </w:rPr>
      </w:pPr>
    </w:p>
    <w:p w14:paraId="4DA028CC" w14:textId="77777777" w:rsidR="001B0730" w:rsidRDefault="001B0730">
      <w:pPr>
        <w:rPr>
          <w:i/>
          <w:color w:val="E2E2E5"/>
          <w:sz w:val="20"/>
          <w:szCs w:val="20"/>
          <w:shd w:val="clear" w:color="auto" w:fill="1A1C1E"/>
        </w:rPr>
      </w:pPr>
    </w:p>
    <w:p w14:paraId="1449EC62" w14:textId="77777777" w:rsidR="001B0730" w:rsidRDefault="00000000">
      <w:pPr>
        <w:widowControl w:val="0"/>
        <w:pBdr>
          <w:top w:val="nil"/>
          <w:left w:val="nil"/>
          <w:bottom w:val="nil"/>
          <w:right w:val="nil"/>
          <w:between w:val="nil"/>
        </w:pBdr>
        <w:rPr>
          <w:color w:val="000000"/>
        </w:rPr>
      </w:pPr>
      <w:r>
        <w:br w:type="page"/>
      </w:r>
    </w:p>
    <w:p w14:paraId="72FE3002" w14:textId="77777777" w:rsidR="001B0730" w:rsidRDefault="001B0730">
      <w:pPr>
        <w:rPr>
          <w:color w:val="000000"/>
        </w:rPr>
      </w:pPr>
    </w:p>
    <w:p w14:paraId="1C84B6B6" w14:textId="77777777" w:rsidR="001B0730" w:rsidRDefault="00000000">
      <w:pPr>
        <w:pStyle w:val="Heading1"/>
        <w:rPr>
          <w:color w:val="000000"/>
          <w:sz w:val="22"/>
          <w:szCs w:val="22"/>
        </w:rPr>
      </w:pPr>
      <w:r>
        <w:t>4 - Je recherche un nouveau site Web ou une nouvelle application pour remplir un besoin (travailler/m'informer/communiquer/me détendre).</w:t>
      </w:r>
    </w:p>
    <w:p w14:paraId="2A6232DE" w14:textId="77777777" w:rsidR="001B0730" w:rsidRDefault="001B0730"/>
    <w:tbl>
      <w:tblPr>
        <w:tblStyle w:val="a2"/>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1D99F41C" w14:textId="77777777">
        <w:trPr>
          <w:jc w:val="center"/>
        </w:trPr>
        <w:tc>
          <w:tcPr>
            <w:tcW w:w="3500" w:type="dxa"/>
            <w:tcMar>
              <w:top w:w="100" w:type="dxa"/>
              <w:left w:w="100" w:type="dxa"/>
              <w:bottom w:w="100" w:type="dxa"/>
              <w:right w:w="100" w:type="dxa"/>
            </w:tcMar>
          </w:tcPr>
          <w:p w14:paraId="144644D2" w14:textId="2A87F925"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66CADB6B"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0F507B61" w14:textId="77777777" w:rsidR="001B0730" w:rsidRDefault="00000000">
            <w:pPr>
              <w:widowControl w:val="0"/>
              <w:spacing w:line="240" w:lineRule="auto"/>
            </w:pPr>
            <w:r>
              <w:t>Dimensions</w:t>
            </w:r>
          </w:p>
        </w:tc>
      </w:tr>
      <w:tr w:rsidR="001B0730" w14:paraId="1992996E" w14:textId="77777777">
        <w:trPr>
          <w:jc w:val="center"/>
        </w:trPr>
        <w:tc>
          <w:tcPr>
            <w:tcW w:w="3500" w:type="dxa"/>
            <w:tcMar>
              <w:top w:w="100" w:type="dxa"/>
              <w:left w:w="100" w:type="dxa"/>
              <w:bottom w:w="100" w:type="dxa"/>
              <w:right w:w="100" w:type="dxa"/>
            </w:tcMar>
          </w:tcPr>
          <w:p w14:paraId="36368EAB" w14:textId="77777777" w:rsidR="001B0730" w:rsidRDefault="00000000">
            <w:r>
              <w:t>Privilégier des outils plus sobres et éthiques</w:t>
            </w:r>
          </w:p>
        </w:tc>
        <w:tc>
          <w:tcPr>
            <w:tcW w:w="3500" w:type="dxa"/>
            <w:tcMar>
              <w:top w:w="100" w:type="dxa"/>
              <w:left w:w="100" w:type="dxa"/>
              <w:bottom w:w="100" w:type="dxa"/>
              <w:right w:w="100" w:type="dxa"/>
            </w:tcMar>
          </w:tcPr>
          <w:p w14:paraId="660C0E4F" w14:textId="3C8DB005" w:rsidR="001B0730" w:rsidRDefault="00000000">
            <w:r>
              <w:rPr>
                <w:i/>
                <w:sz w:val="20"/>
                <w:szCs w:val="20"/>
              </w:rPr>
              <w:t xml:space="preserve">Choisir ses outils numériques selon des critères comme : éco-conception (basse consommation, optimisé, fonctionnalités utiles), hébergement sobre, localisation géographique, transparence (logiciel open-source ou libre, politique de confidentialité claire et respectueuse), respect de la vie privée, facilitation de la réparation, évolutivité et lutte contre </w:t>
            </w:r>
            <w:proofErr w:type="spellStart"/>
            <w:r>
              <w:rPr>
                <w:i/>
                <w:sz w:val="20"/>
                <w:szCs w:val="20"/>
              </w:rPr>
              <w:t>contre</w:t>
            </w:r>
            <w:proofErr w:type="spellEnd"/>
            <w:r>
              <w:rPr>
                <w:i/>
                <w:sz w:val="20"/>
                <w:szCs w:val="20"/>
              </w:rPr>
              <w:t xml:space="preserve"> l'obsolescence programmée, etc.</w:t>
            </w:r>
          </w:p>
        </w:tc>
        <w:tc>
          <w:tcPr>
            <w:tcW w:w="3500" w:type="dxa"/>
            <w:tcMar>
              <w:top w:w="100" w:type="dxa"/>
              <w:left w:w="100" w:type="dxa"/>
              <w:bottom w:w="100" w:type="dxa"/>
              <w:right w:w="100" w:type="dxa"/>
            </w:tcMar>
          </w:tcPr>
          <w:p w14:paraId="778DE4E2" w14:textId="77777777" w:rsidR="001B0730" w:rsidRDefault="00000000">
            <w:r>
              <w:rPr>
                <w:sz w:val="20"/>
                <w:szCs w:val="20"/>
              </w:rPr>
              <w:t>4- Gestion des usages</w:t>
            </w:r>
          </w:p>
        </w:tc>
      </w:tr>
    </w:tbl>
    <w:p w14:paraId="2814D705" w14:textId="77777777" w:rsidR="001B0730" w:rsidRDefault="001B0730">
      <w:pPr>
        <w:widowControl w:val="0"/>
        <w:pBdr>
          <w:top w:val="nil"/>
          <w:left w:val="nil"/>
          <w:bottom w:val="nil"/>
          <w:right w:val="nil"/>
          <w:between w:val="nil"/>
        </w:pBdr>
        <w:rPr>
          <w:color w:val="000000"/>
        </w:rPr>
      </w:pPr>
    </w:p>
    <w:p w14:paraId="4289AE49" w14:textId="77777777" w:rsidR="001B0730" w:rsidRDefault="001B0730">
      <w:pPr>
        <w:widowControl w:val="0"/>
        <w:pBdr>
          <w:top w:val="nil"/>
          <w:left w:val="nil"/>
          <w:bottom w:val="nil"/>
          <w:right w:val="nil"/>
          <w:between w:val="nil"/>
        </w:pBdr>
        <w:rPr>
          <w:color w:val="000000"/>
        </w:rPr>
      </w:pPr>
    </w:p>
    <w:p w14:paraId="36F00DB2" w14:textId="77777777" w:rsidR="001B0730" w:rsidRDefault="001B0730">
      <w:pPr>
        <w:rPr>
          <w:color w:val="000000"/>
        </w:rPr>
      </w:pPr>
    </w:p>
    <w:p w14:paraId="324A4413" w14:textId="77777777" w:rsidR="001B0730" w:rsidRDefault="001B0730">
      <w:pPr>
        <w:rPr>
          <w:i/>
          <w:color w:val="E2E2E5"/>
          <w:sz w:val="20"/>
          <w:szCs w:val="20"/>
          <w:shd w:val="clear" w:color="auto" w:fill="1A1C1E"/>
        </w:rPr>
      </w:pPr>
    </w:p>
    <w:p w14:paraId="662261A5" w14:textId="77777777" w:rsidR="001B0730" w:rsidRDefault="00000000">
      <w:pPr>
        <w:widowControl w:val="0"/>
        <w:pBdr>
          <w:top w:val="nil"/>
          <w:left w:val="nil"/>
          <w:bottom w:val="nil"/>
          <w:right w:val="nil"/>
          <w:between w:val="nil"/>
        </w:pBdr>
        <w:rPr>
          <w:color w:val="000000"/>
        </w:rPr>
      </w:pPr>
      <w:r>
        <w:br w:type="page"/>
      </w:r>
    </w:p>
    <w:p w14:paraId="5008E17D" w14:textId="77777777" w:rsidR="001B0730" w:rsidRDefault="001B0730">
      <w:pPr>
        <w:rPr>
          <w:color w:val="000000"/>
        </w:rPr>
      </w:pPr>
    </w:p>
    <w:p w14:paraId="7FBF5D7C" w14:textId="77777777" w:rsidR="001B0730" w:rsidRDefault="00000000">
      <w:pPr>
        <w:pStyle w:val="Heading1"/>
        <w:rPr>
          <w:color w:val="000000"/>
          <w:sz w:val="22"/>
          <w:szCs w:val="22"/>
        </w:rPr>
      </w:pPr>
      <w:r>
        <w:t>5 - Je souhaite gérer intelligemment mes besoins en ressources numériques (calcul/stockage/services) et mes données.</w:t>
      </w:r>
    </w:p>
    <w:p w14:paraId="6B725F85" w14:textId="77777777" w:rsidR="001B0730" w:rsidRDefault="001B0730"/>
    <w:tbl>
      <w:tblPr>
        <w:tblStyle w:val="a3"/>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2393B81D" w14:textId="77777777">
        <w:trPr>
          <w:jc w:val="center"/>
        </w:trPr>
        <w:tc>
          <w:tcPr>
            <w:tcW w:w="3500" w:type="dxa"/>
            <w:tcMar>
              <w:top w:w="100" w:type="dxa"/>
              <w:left w:w="100" w:type="dxa"/>
              <w:bottom w:w="100" w:type="dxa"/>
              <w:right w:w="100" w:type="dxa"/>
            </w:tcMar>
          </w:tcPr>
          <w:p w14:paraId="1DC76CBA" w14:textId="3562671F"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06A2D558"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2FDF462B" w14:textId="77777777" w:rsidR="001B0730" w:rsidRDefault="00000000">
            <w:pPr>
              <w:widowControl w:val="0"/>
              <w:spacing w:line="240" w:lineRule="auto"/>
            </w:pPr>
            <w:r>
              <w:t>Dimensions</w:t>
            </w:r>
          </w:p>
        </w:tc>
      </w:tr>
      <w:tr w:rsidR="001B0730" w14:paraId="1E00ED44" w14:textId="77777777">
        <w:trPr>
          <w:jc w:val="center"/>
        </w:trPr>
        <w:tc>
          <w:tcPr>
            <w:tcW w:w="3500" w:type="dxa"/>
            <w:tcMar>
              <w:top w:w="100" w:type="dxa"/>
              <w:left w:w="100" w:type="dxa"/>
              <w:bottom w:w="100" w:type="dxa"/>
              <w:right w:w="100" w:type="dxa"/>
            </w:tcMar>
          </w:tcPr>
          <w:p w14:paraId="750AF7DD" w14:textId="77777777" w:rsidR="001B0730" w:rsidRDefault="00000000">
            <w:r>
              <w:t>Alléger les bases de données et les serveurs physiques de données non utiles.</w:t>
            </w:r>
          </w:p>
        </w:tc>
        <w:tc>
          <w:tcPr>
            <w:tcW w:w="3500" w:type="dxa"/>
            <w:tcMar>
              <w:top w:w="100" w:type="dxa"/>
              <w:left w:w="100" w:type="dxa"/>
              <w:bottom w:w="100" w:type="dxa"/>
              <w:right w:w="100" w:type="dxa"/>
            </w:tcMar>
          </w:tcPr>
          <w:p w14:paraId="40D3D67E" w14:textId="77777777" w:rsidR="001B0730" w:rsidRDefault="00000000">
            <w:r>
              <w:rPr>
                <w:i/>
                <w:sz w:val="20"/>
                <w:szCs w:val="20"/>
              </w:rPr>
              <w:t>Définir une stratégie d’agrégation, d'archivage et de suppression des contenus obsolètes, périmés, dépassés ou inutiles à conserver dans le service numérique. Cette stratégie peut être automatique en définissant une date d’expiration et un processus d’archivage et/ou de purge automatique.</w:t>
            </w:r>
          </w:p>
        </w:tc>
        <w:tc>
          <w:tcPr>
            <w:tcW w:w="3500" w:type="dxa"/>
            <w:tcMar>
              <w:top w:w="100" w:type="dxa"/>
              <w:left w:w="100" w:type="dxa"/>
              <w:bottom w:w="100" w:type="dxa"/>
              <w:right w:w="100" w:type="dxa"/>
            </w:tcMar>
          </w:tcPr>
          <w:p w14:paraId="19D86755" w14:textId="77777777" w:rsidR="001B0730" w:rsidRDefault="00000000">
            <w:r>
              <w:rPr>
                <w:sz w:val="20"/>
                <w:szCs w:val="20"/>
              </w:rPr>
              <w:t>3- Gestion des opérations</w:t>
            </w:r>
          </w:p>
        </w:tc>
      </w:tr>
      <w:tr w:rsidR="001B0730" w14:paraId="4852122E" w14:textId="77777777">
        <w:trPr>
          <w:jc w:val="center"/>
        </w:trPr>
        <w:tc>
          <w:tcPr>
            <w:tcW w:w="3500" w:type="dxa"/>
            <w:tcMar>
              <w:top w:w="100" w:type="dxa"/>
              <w:left w:w="100" w:type="dxa"/>
              <w:bottom w:w="100" w:type="dxa"/>
              <w:right w:w="100" w:type="dxa"/>
            </w:tcMar>
          </w:tcPr>
          <w:p w14:paraId="249B04D3" w14:textId="77777777" w:rsidR="001B0730" w:rsidRDefault="00000000">
            <w:r>
              <w:t>Privilégier un hébergeur plus sobre</w:t>
            </w:r>
          </w:p>
        </w:tc>
        <w:tc>
          <w:tcPr>
            <w:tcW w:w="3500" w:type="dxa"/>
            <w:tcMar>
              <w:top w:w="100" w:type="dxa"/>
              <w:left w:w="100" w:type="dxa"/>
              <w:bottom w:w="100" w:type="dxa"/>
              <w:right w:w="100" w:type="dxa"/>
            </w:tcMar>
          </w:tcPr>
          <w:p w14:paraId="6A14D230" w14:textId="77777777" w:rsidR="001B0730" w:rsidRDefault="00000000">
            <w:r>
              <w:rPr>
                <w:i/>
                <w:sz w:val="20"/>
                <w:szCs w:val="20"/>
              </w:rPr>
              <w:t xml:space="preserve">Intégrer des clauses environnementales lors du choix d'un prestataire comme : Power Usage </w:t>
            </w:r>
            <w:proofErr w:type="spellStart"/>
            <w:r>
              <w:rPr>
                <w:i/>
                <w:sz w:val="20"/>
                <w:szCs w:val="20"/>
              </w:rPr>
              <w:t>Effectiveness</w:t>
            </w:r>
            <w:proofErr w:type="spellEnd"/>
            <w:r>
              <w:rPr>
                <w:i/>
                <w:sz w:val="20"/>
                <w:szCs w:val="20"/>
              </w:rPr>
              <w:t xml:space="preserve"> (PUE) et Water Usage </w:t>
            </w:r>
            <w:proofErr w:type="spellStart"/>
            <w:r>
              <w:rPr>
                <w:i/>
                <w:sz w:val="20"/>
                <w:szCs w:val="20"/>
              </w:rPr>
              <w:t>Effectiveness</w:t>
            </w:r>
            <w:proofErr w:type="spellEnd"/>
            <w:r>
              <w:rPr>
                <w:i/>
                <w:sz w:val="20"/>
                <w:szCs w:val="20"/>
              </w:rPr>
              <w:t xml:space="preserve"> (WUE) optimisés, origine de consommation d'électricité renouvelable et documentée, localisation géographique, traitement efficace de la chaleur produite par les serveurs.</w:t>
            </w:r>
          </w:p>
        </w:tc>
        <w:tc>
          <w:tcPr>
            <w:tcW w:w="3500" w:type="dxa"/>
            <w:tcMar>
              <w:top w:w="100" w:type="dxa"/>
              <w:left w:w="100" w:type="dxa"/>
              <w:bottom w:w="100" w:type="dxa"/>
              <w:right w:w="100" w:type="dxa"/>
            </w:tcMar>
          </w:tcPr>
          <w:p w14:paraId="3BD07CD7" w14:textId="77777777" w:rsidR="001B0730" w:rsidRDefault="00000000">
            <w:r>
              <w:rPr>
                <w:sz w:val="20"/>
                <w:szCs w:val="20"/>
              </w:rPr>
              <w:t>3- Gestion des opérations</w:t>
            </w:r>
          </w:p>
        </w:tc>
      </w:tr>
    </w:tbl>
    <w:p w14:paraId="0F9052E5" w14:textId="77777777" w:rsidR="001B0730" w:rsidRDefault="001B0730">
      <w:pPr>
        <w:widowControl w:val="0"/>
        <w:pBdr>
          <w:top w:val="nil"/>
          <w:left w:val="nil"/>
          <w:bottom w:val="nil"/>
          <w:right w:val="nil"/>
          <w:between w:val="nil"/>
        </w:pBdr>
        <w:rPr>
          <w:color w:val="000000"/>
        </w:rPr>
      </w:pPr>
    </w:p>
    <w:p w14:paraId="2EC8C90D" w14:textId="77777777" w:rsidR="001B0730" w:rsidRDefault="001B0730">
      <w:pPr>
        <w:widowControl w:val="0"/>
        <w:pBdr>
          <w:top w:val="nil"/>
          <w:left w:val="nil"/>
          <w:bottom w:val="nil"/>
          <w:right w:val="nil"/>
          <w:between w:val="nil"/>
        </w:pBdr>
        <w:rPr>
          <w:color w:val="000000"/>
        </w:rPr>
      </w:pPr>
    </w:p>
    <w:p w14:paraId="67D5B17E" w14:textId="77777777" w:rsidR="001B0730" w:rsidRDefault="001B0730">
      <w:pPr>
        <w:rPr>
          <w:color w:val="000000"/>
        </w:rPr>
      </w:pPr>
    </w:p>
    <w:p w14:paraId="0C070A57" w14:textId="77777777" w:rsidR="001B0730" w:rsidRDefault="001B0730">
      <w:pPr>
        <w:rPr>
          <w:i/>
          <w:color w:val="E2E2E5"/>
          <w:sz w:val="20"/>
          <w:szCs w:val="20"/>
          <w:shd w:val="clear" w:color="auto" w:fill="1A1C1E"/>
        </w:rPr>
      </w:pPr>
    </w:p>
    <w:p w14:paraId="05245DBD" w14:textId="77777777" w:rsidR="001B0730" w:rsidRDefault="00000000">
      <w:pPr>
        <w:widowControl w:val="0"/>
        <w:pBdr>
          <w:top w:val="nil"/>
          <w:left w:val="nil"/>
          <w:bottom w:val="nil"/>
          <w:right w:val="nil"/>
          <w:between w:val="nil"/>
        </w:pBdr>
        <w:rPr>
          <w:color w:val="000000"/>
        </w:rPr>
      </w:pPr>
      <w:r>
        <w:br w:type="page"/>
      </w:r>
    </w:p>
    <w:p w14:paraId="5F2CBCA1" w14:textId="77777777" w:rsidR="001B0730" w:rsidRDefault="001B0730">
      <w:pPr>
        <w:rPr>
          <w:color w:val="000000"/>
        </w:rPr>
      </w:pPr>
    </w:p>
    <w:p w14:paraId="524D4354" w14:textId="77777777" w:rsidR="001B0730" w:rsidRDefault="00000000">
      <w:pPr>
        <w:pStyle w:val="Heading1"/>
        <w:rPr>
          <w:color w:val="000000"/>
          <w:sz w:val="22"/>
          <w:szCs w:val="22"/>
        </w:rPr>
      </w:pPr>
      <w:r>
        <w:t>6 - Je souhaite concevoir un service numérique dans le cadre de mon travail en intégrant les meilleures pratiques.</w:t>
      </w:r>
    </w:p>
    <w:p w14:paraId="791CDB5B" w14:textId="77777777" w:rsidR="001B0730" w:rsidRDefault="001B0730"/>
    <w:tbl>
      <w:tblPr>
        <w:tblStyle w:val="a4"/>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0DEFB668" w14:textId="77777777">
        <w:trPr>
          <w:jc w:val="center"/>
        </w:trPr>
        <w:tc>
          <w:tcPr>
            <w:tcW w:w="3500" w:type="dxa"/>
            <w:tcMar>
              <w:top w:w="100" w:type="dxa"/>
              <w:left w:w="100" w:type="dxa"/>
              <w:bottom w:w="100" w:type="dxa"/>
              <w:right w:w="100" w:type="dxa"/>
            </w:tcMar>
          </w:tcPr>
          <w:p w14:paraId="63183D33" w14:textId="7023F52E"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33F0B335"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3417BE63" w14:textId="77777777" w:rsidR="001B0730" w:rsidRDefault="00000000">
            <w:pPr>
              <w:widowControl w:val="0"/>
              <w:spacing w:line="240" w:lineRule="auto"/>
            </w:pPr>
            <w:r>
              <w:t>Dimensions</w:t>
            </w:r>
          </w:p>
        </w:tc>
      </w:tr>
      <w:tr w:rsidR="001B0730" w14:paraId="18F458D5" w14:textId="77777777">
        <w:trPr>
          <w:jc w:val="center"/>
        </w:trPr>
        <w:tc>
          <w:tcPr>
            <w:tcW w:w="3500" w:type="dxa"/>
            <w:tcMar>
              <w:top w:w="100" w:type="dxa"/>
              <w:left w:w="100" w:type="dxa"/>
              <w:bottom w:w="100" w:type="dxa"/>
              <w:right w:w="100" w:type="dxa"/>
            </w:tcMar>
          </w:tcPr>
          <w:p w14:paraId="40357079" w14:textId="77777777" w:rsidR="001B0730" w:rsidRDefault="00000000">
            <w:r>
              <w:t>Optimiser le format des contenus numériques</w:t>
            </w:r>
          </w:p>
        </w:tc>
        <w:tc>
          <w:tcPr>
            <w:tcW w:w="3500" w:type="dxa"/>
            <w:tcMar>
              <w:top w:w="100" w:type="dxa"/>
              <w:left w:w="100" w:type="dxa"/>
              <w:bottom w:w="100" w:type="dxa"/>
              <w:right w:w="100" w:type="dxa"/>
            </w:tcMar>
          </w:tcPr>
          <w:p w14:paraId="5D28B0BD" w14:textId="77777777" w:rsidR="001B0730" w:rsidRDefault="00000000">
            <w:r>
              <w:rPr>
                <w:i/>
                <w:sz w:val="20"/>
                <w:szCs w:val="20"/>
              </w:rPr>
              <w:t>Réduire la taille des fichiers et limiter l’usage excessif de vidéos en haute définition pour minimiser l’empreinte écologique des ressources académiques. Un PDF bien structuré ou une présentation allégée peut souvent remplacer une vidéo sans perte de qualité pédagogique. Mettre en place un archivage des vidéos enregistrées (notamment les vidéos de rencontres)</w:t>
            </w:r>
          </w:p>
        </w:tc>
        <w:tc>
          <w:tcPr>
            <w:tcW w:w="3500" w:type="dxa"/>
            <w:tcMar>
              <w:top w:w="100" w:type="dxa"/>
              <w:left w:w="100" w:type="dxa"/>
              <w:bottom w:w="100" w:type="dxa"/>
              <w:right w:w="100" w:type="dxa"/>
            </w:tcMar>
          </w:tcPr>
          <w:p w14:paraId="7D113A3E" w14:textId="77777777" w:rsidR="001B0730" w:rsidRDefault="00000000">
            <w:r>
              <w:rPr>
                <w:sz w:val="20"/>
                <w:szCs w:val="20"/>
              </w:rPr>
              <w:t>5- Formation</w:t>
            </w:r>
          </w:p>
        </w:tc>
      </w:tr>
    </w:tbl>
    <w:p w14:paraId="7100A40A" w14:textId="77777777" w:rsidR="001B0730" w:rsidRDefault="001B0730">
      <w:pPr>
        <w:widowControl w:val="0"/>
        <w:pBdr>
          <w:top w:val="nil"/>
          <w:left w:val="nil"/>
          <w:bottom w:val="nil"/>
          <w:right w:val="nil"/>
          <w:between w:val="nil"/>
        </w:pBdr>
        <w:rPr>
          <w:color w:val="000000"/>
        </w:rPr>
      </w:pPr>
    </w:p>
    <w:p w14:paraId="40A20A78" w14:textId="77777777" w:rsidR="001B0730" w:rsidRDefault="001B0730">
      <w:pPr>
        <w:widowControl w:val="0"/>
        <w:pBdr>
          <w:top w:val="nil"/>
          <w:left w:val="nil"/>
          <w:bottom w:val="nil"/>
          <w:right w:val="nil"/>
          <w:between w:val="nil"/>
        </w:pBdr>
        <w:rPr>
          <w:color w:val="000000"/>
        </w:rPr>
      </w:pPr>
    </w:p>
    <w:p w14:paraId="23787ABB" w14:textId="77777777" w:rsidR="001B0730" w:rsidRDefault="001B0730">
      <w:pPr>
        <w:rPr>
          <w:color w:val="000000"/>
        </w:rPr>
      </w:pPr>
    </w:p>
    <w:p w14:paraId="6009294E" w14:textId="77777777" w:rsidR="001B0730" w:rsidRDefault="001B0730">
      <w:pPr>
        <w:rPr>
          <w:i/>
          <w:color w:val="E2E2E5"/>
          <w:sz w:val="20"/>
          <w:szCs w:val="20"/>
          <w:shd w:val="clear" w:color="auto" w:fill="1A1C1E"/>
        </w:rPr>
      </w:pPr>
    </w:p>
    <w:p w14:paraId="5A827937" w14:textId="77777777" w:rsidR="001B0730" w:rsidRDefault="00000000">
      <w:pPr>
        <w:widowControl w:val="0"/>
        <w:pBdr>
          <w:top w:val="nil"/>
          <w:left w:val="nil"/>
          <w:bottom w:val="nil"/>
          <w:right w:val="nil"/>
          <w:between w:val="nil"/>
        </w:pBdr>
        <w:rPr>
          <w:color w:val="000000"/>
        </w:rPr>
      </w:pPr>
      <w:r>
        <w:br w:type="page"/>
      </w:r>
    </w:p>
    <w:p w14:paraId="5A7111B0" w14:textId="77777777" w:rsidR="001B0730" w:rsidRDefault="001B0730">
      <w:pPr>
        <w:rPr>
          <w:color w:val="000000"/>
        </w:rPr>
      </w:pPr>
    </w:p>
    <w:p w14:paraId="3EC07D8E" w14:textId="77777777" w:rsidR="001B0730" w:rsidRDefault="00000000">
      <w:pPr>
        <w:pStyle w:val="Heading1"/>
        <w:rPr>
          <w:color w:val="000000"/>
          <w:sz w:val="22"/>
          <w:szCs w:val="22"/>
        </w:rPr>
      </w:pPr>
      <w:r>
        <w:t>7 - Je souhaite évaluer et mesurer l'impact environnemental de mes actions de sobriété numérique et de mes systèmes numériques.</w:t>
      </w:r>
    </w:p>
    <w:p w14:paraId="799D8AA6" w14:textId="77777777" w:rsidR="001B0730" w:rsidRDefault="001B0730"/>
    <w:tbl>
      <w:tblPr>
        <w:tblStyle w:val="a5"/>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0AED1CB0" w14:textId="77777777">
        <w:trPr>
          <w:jc w:val="center"/>
        </w:trPr>
        <w:tc>
          <w:tcPr>
            <w:tcW w:w="3500" w:type="dxa"/>
            <w:tcMar>
              <w:top w:w="100" w:type="dxa"/>
              <w:left w:w="100" w:type="dxa"/>
              <w:bottom w:w="100" w:type="dxa"/>
              <w:right w:w="100" w:type="dxa"/>
            </w:tcMar>
          </w:tcPr>
          <w:p w14:paraId="2BDCE8E2" w14:textId="4456221C"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54DEF334"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0824E836" w14:textId="77777777" w:rsidR="001B0730" w:rsidRDefault="00000000">
            <w:pPr>
              <w:widowControl w:val="0"/>
              <w:spacing w:line="240" w:lineRule="auto"/>
            </w:pPr>
            <w:r>
              <w:t>Dimensions</w:t>
            </w:r>
          </w:p>
        </w:tc>
      </w:tr>
      <w:tr w:rsidR="001B0730" w14:paraId="6DFB3C85" w14:textId="77777777">
        <w:trPr>
          <w:jc w:val="center"/>
        </w:trPr>
        <w:tc>
          <w:tcPr>
            <w:tcW w:w="3500" w:type="dxa"/>
            <w:tcMar>
              <w:top w:w="100" w:type="dxa"/>
              <w:left w:w="100" w:type="dxa"/>
              <w:bottom w:w="100" w:type="dxa"/>
              <w:right w:w="100" w:type="dxa"/>
            </w:tcMar>
          </w:tcPr>
          <w:p w14:paraId="457240D6" w14:textId="77777777" w:rsidR="001B0730" w:rsidRDefault="00000000">
            <w:r>
              <w:t>Développer des indicateurs et implémenter des outils de mesure</w:t>
            </w:r>
          </w:p>
        </w:tc>
        <w:tc>
          <w:tcPr>
            <w:tcW w:w="3500" w:type="dxa"/>
            <w:tcMar>
              <w:top w:w="100" w:type="dxa"/>
              <w:left w:w="100" w:type="dxa"/>
              <w:bottom w:w="100" w:type="dxa"/>
              <w:right w:w="100" w:type="dxa"/>
            </w:tcMar>
          </w:tcPr>
          <w:p w14:paraId="4B2E34B9" w14:textId="77777777" w:rsidR="001B0730" w:rsidRDefault="00000000">
            <w:r>
              <w:rPr>
                <w:i/>
                <w:sz w:val="20"/>
                <w:szCs w:val="20"/>
              </w:rPr>
              <w:t>Mesurer l'empreinte environnementale des pratiques numériques, afin de mieux orienter les décisions et recommandations</w:t>
            </w:r>
          </w:p>
        </w:tc>
        <w:tc>
          <w:tcPr>
            <w:tcW w:w="3500" w:type="dxa"/>
            <w:tcMar>
              <w:top w:w="100" w:type="dxa"/>
              <w:left w:w="100" w:type="dxa"/>
              <w:bottom w:w="100" w:type="dxa"/>
              <w:right w:w="100" w:type="dxa"/>
            </w:tcMar>
          </w:tcPr>
          <w:p w14:paraId="46A97506" w14:textId="77777777" w:rsidR="001B0730" w:rsidRDefault="00000000">
            <w:r>
              <w:rPr>
                <w:sz w:val="20"/>
                <w:szCs w:val="20"/>
              </w:rPr>
              <w:t>1- Gouvernance</w:t>
            </w:r>
          </w:p>
        </w:tc>
      </w:tr>
      <w:tr w:rsidR="001B0730" w14:paraId="6B97C092" w14:textId="77777777">
        <w:trPr>
          <w:jc w:val="center"/>
        </w:trPr>
        <w:tc>
          <w:tcPr>
            <w:tcW w:w="3500" w:type="dxa"/>
            <w:tcMar>
              <w:top w:w="100" w:type="dxa"/>
              <w:left w:w="100" w:type="dxa"/>
              <w:bottom w:w="100" w:type="dxa"/>
              <w:right w:w="100" w:type="dxa"/>
            </w:tcMar>
          </w:tcPr>
          <w:p w14:paraId="5A4DB63F" w14:textId="77777777" w:rsidR="001B0730" w:rsidRDefault="00000000">
            <w:r>
              <w:t>Établir une stratégie ambitieuse et évaluer régulièrement</w:t>
            </w:r>
          </w:p>
        </w:tc>
        <w:tc>
          <w:tcPr>
            <w:tcW w:w="3500" w:type="dxa"/>
            <w:tcMar>
              <w:top w:w="100" w:type="dxa"/>
              <w:left w:w="100" w:type="dxa"/>
              <w:bottom w:w="100" w:type="dxa"/>
              <w:right w:w="100" w:type="dxa"/>
            </w:tcMar>
          </w:tcPr>
          <w:p w14:paraId="72557982" w14:textId="77777777" w:rsidR="001B0730" w:rsidRDefault="00000000">
            <w:r>
              <w:rPr>
                <w:i/>
                <w:sz w:val="20"/>
                <w:szCs w:val="20"/>
              </w:rPr>
              <w:t>Définir des objectifs court et long terme, des indicateurs et des résultats clés à atteindre chaque trimestre en octroyant aux départements les moyens de réussir</w:t>
            </w:r>
          </w:p>
        </w:tc>
        <w:tc>
          <w:tcPr>
            <w:tcW w:w="3500" w:type="dxa"/>
            <w:tcMar>
              <w:top w:w="100" w:type="dxa"/>
              <w:left w:w="100" w:type="dxa"/>
              <w:bottom w:w="100" w:type="dxa"/>
              <w:right w:w="100" w:type="dxa"/>
            </w:tcMar>
          </w:tcPr>
          <w:p w14:paraId="54235C46" w14:textId="77777777" w:rsidR="001B0730" w:rsidRDefault="00000000">
            <w:r>
              <w:rPr>
                <w:sz w:val="20"/>
                <w:szCs w:val="20"/>
              </w:rPr>
              <w:t>1- Gouvernance</w:t>
            </w:r>
          </w:p>
        </w:tc>
      </w:tr>
      <w:tr w:rsidR="001B0730" w14:paraId="77DA0786" w14:textId="77777777">
        <w:trPr>
          <w:jc w:val="center"/>
        </w:trPr>
        <w:tc>
          <w:tcPr>
            <w:tcW w:w="3500" w:type="dxa"/>
            <w:tcMar>
              <w:top w:w="100" w:type="dxa"/>
              <w:left w:w="100" w:type="dxa"/>
              <w:bottom w:w="100" w:type="dxa"/>
              <w:right w:w="100" w:type="dxa"/>
            </w:tcMar>
          </w:tcPr>
          <w:p w14:paraId="37C38465" w14:textId="77777777" w:rsidR="001B0730" w:rsidRDefault="00000000">
            <w:r>
              <w:t>Évaluer l'empreinte de l'infrastructure</w:t>
            </w:r>
          </w:p>
        </w:tc>
        <w:tc>
          <w:tcPr>
            <w:tcW w:w="3500" w:type="dxa"/>
            <w:tcMar>
              <w:top w:w="100" w:type="dxa"/>
              <w:left w:w="100" w:type="dxa"/>
              <w:bottom w:w="100" w:type="dxa"/>
              <w:right w:w="100" w:type="dxa"/>
            </w:tcMar>
          </w:tcPr>
          <w:p w14:paraId="62BAEB22" w14:textId="77777777" w:rsidR="001B0730" w:rsidRDefault="00000000">
            <w:r>
              <w:rPr>
                <w:i/>
                <w:sz w:val="20"/>
                <w:szCs w:val="20"/>
              </w:rPr>
              <w:t>Réaliser une évaluation régulière de l'hébergement et infrastructure (consommation et empreinte intrinsèque) et établir des recommandations</w:t>
            </w:r>
          </w:p>
        </w:tc>
        <w:tc>
          <w:tcPr>
            <w:tcW w:w="3500" w:type="dxa"/>
            <w:tcMar>
              <w:top w:w="100" w:type="dxa"/>
              <w:left w:w="100" w:type="dxa"/>
              <w:bottom w:w="100" w:type="dxa"/>
              <w:right w:w="100" w:type="dxa"/>
            </w:tcMar>
          </w:tcPr>
          <w:p w14:paraId="37DB6C64" w14:textId="77777777" w:rsidR="001B0730" w:rsidRDefault="00000000">
            <w:r>
              <w:rPr>
                <w:sz w:val="20"/>
                <w:szCs w:val="20"/>
              </w:rPr>
              <w:t>2- Mesure et évaluation</w:t>
            </w:r>
          </w:p>
        </w:tc>
      </w:tr>
      <w:tr w:rsidR="001B0730" w14:paraId="6C551168" w14:textId="77777777">
        <w:trPr>
          <w:jc w:val="center"/>
        </w:trPr>
        <w:tc>
          <w:tcPr>
            <w:tcW w:w="3500" w:type="dxa"/>
            <w:tcMar>
              <w:top w:w="100" w:type="dxa"/>
              <w:left w:w="100" w:type="dxa"/>
              <w:bottom w:w="100" w:type="dxa"/>
              <w:right w:w="100" w:type="dxa"/>
            </w:tcMar>
          </w:tcPr>
          <w:p w14:paraId="025F9FA9" w14:textId="77777777" w:rsidR="001B0730" w:rsidRDefault="00000000">
            <w:r>
              <w:t>Évaluer l'empreinte des équipements numériques</w:t>
            </w:r>
          </w:p>
        </w:tc>
        <w:tc>
          <w:tcPr>
            <w:tcW w:w="3500" w:type="dxa"/>
            <w:tcMar>
              <w:top w:w="100" w:type="dxa"/>
              <w:left w:w="100" w:type="dxa"/>
              <w:bottom w:w="100" w:type="dxa"/>
              <w:right w:w="100" w:type="dxa"/>
            </w:tcMar>
          </w:tcPr>
          <w:p w14:paraId="297CD32A" w14:textId="77777777" w:rsidR="001B0730" w:rsidRDefault="00000000">
            <w:r>
              <w:rPr>
                <w:i/>
                <w:sz w:val="20"/>
                <w:szCs w:val="20"/>
              </w:rPr>
              <w:t>Réaliser une évaluation de l'empreinte du parc informatique tous les ans (consommation et empreinte intrinsèque) et établir des recommandations</w:t>
            </w:r>
          </w:p>
        </w:tc>
        <w:tc>
          <w:tcPr>
            <w:tcW w:w="3500" w:type="dxa"/>
            <w:tcMar>
              <w:top w:w="100" w:type="dxa"/>
              <w:left w:w="100" w:type="dxa"/>
              <w:bottom w:w="100" w:type="dxa"/>
              <w:right w:w="100" w:type="dxa"/>
            </w:tcMar>
          </w:tcPr>
          <w:p w14:paraId="34BDB1A7" w14:textId="77777777" w:rsidR="001B0730" w:rsidRDefault="00000000">
            <w:r>
              <w:rPr>
                <w:sz w:val="20"/>
                <w:szCs w:val="20"/>
              </w:rPr>
              <w:t>2- Mesure et évaluation</w:t>
            </w:r>
          </w:p>
        </w:tc>
      </w:tr>
      <w:tr w:rsidR="001B0730" w14:paraId="3118B259" w14:textId="77777777">
        <w:trPr>
          <w:jc w:val="center"/>
        </w:trPr>
        <w:tc>
          <w:tcPr>
            <w:tcW w:w="3500" w:type="dxa"/>
            <w:tcMar>
              <w:top w:w="100" w:type="dxa"/>
              <w:left w:w="100" w:type="dxa"/>
              <w:bottom w:w="100" w:type="dxa"/>
              <w:right w:w="100" w:type="dxa"/>
            </w:tcMar>
          </w:tcPr>
          <w:p w14:paraId="1689B666" w14:textId="77777777" w:rsidR="001B0730" w:rsidRDefault="00000000">
            <w:r>
              <w:t>Évaluer l'empreinte des flux réseaux</w:t>
            </w:r>
          </w:p>
        </w:tc>
        <w:tc>
          <w:tcPr>
            <w:tcW w:w="3500" w:type="dxa"/>
            <w:tcMar>
              <w:top w:w="100" w:type="dxa"/>
              <w:left w:w="100" w:type="dxa"/>
              <w:bottom w:w="100" w:type="dxa"/>
              <w:right w:w="100" w:type="dxa"/>
            </w:tcMar>
          </w:tcPr>
          <w:p w14:paraId="3C272505" w14:textId="77777777" w:rsidR="001B0730" w:rsidRDefault="00000000">
            <w:r>
              <w:rPr>
                <w:i/>
                <w:sz w:val="20"/>
                <w:szCs w:val="20"/>
              </w:rPr>
              <w:t>Réaliser une évaluation régulière des flux internes et externes liées aux services numériques (fixes et mobiles): API, contenus statiques, cache, streaming, etc. (consommation et empreinte intrinsèque) et établir des recommandations</w:t>
            </w:r>
          </w:p>
        </w:tc>
        <w:tc>
          <w:tcPr>
            <w:tcW w:w="3500" w:type="dxa"/>
            <w:tcMar>
              <w:top w:w="100" w:type="dxa"/>
              <w:left w:w="100" w:type="dxa"/>
              <w:bottom w:w="100" w:type="dxa"/>
              <w:right w:w="100" w:type="dxa"/>
            </w:tcMar>
          </w:tcPr>
          <w:p w14:paraId="44C412F9" w14:textId="77777777" w:rsidR="001B0730" w:rsidRDefault="00000000">
            <w:r>
              <w:rPr>
                <w:sz w:val="20"/>
                <w:szCs w:val="20"/>
              </w:rPr>
              <w:t>2- Mesure et évaluation</w:t>
            </w:r>
          </w:p>
        </w:tc>
      </w:tr>
      <w:tr w:rsidR="001B0730" w14:paraId="4934354D" w14:textId="77777777">
        <w:trPr>
          <w:jc w:val="center"/>
        </w:trPr>
        <w:tc>
          <w:tcPr>
            <w:tcW w:w="3500" w:type="dxa"/>
            <w:tcMar>
              <w:top w:w="100" w:type="dxa"/>
              <w:left w:w="100" w:type="dxa"/>
              <w:bottom w:w="100" w:type="dxa"/>
              <w:right w:w="100" w:type="dxa"/>
            </w:tcMar>
          </w:tcPr>
          <w:p w14:paraId="1B7EDCA5" w14:textId="77777777" w:rsidR="001B0730" w:rsidRDefault="00000000">
            <w:r>
              <w:t>Évaluer l'empreinte des services et produits numériques</w:t>
            </w:r>
          </w:p>
        </w:tc>
        <w:tc>
          <w:tcPr>
            <w:tcW w:w="3500" w:type="dxa"/>
            <w:tcMar>
              <w:top w:w="100" w:type="dxa"/>
              <w:left w:w="100" w:type="dxa"/>
              <w:bottom w:w="100" w:type="dxa"/>
              <w:right w:w="100" w:type="dxa"/>
            </w:tcMar>
          </w:tcPr>
          <w:p w14:paraId="6CE37763" w14:textId="77777777" w:rsidR="001B0730" w:rsidRDefault="00000000">
            <w:r>
              <w:rPr>
                <w:i/>
                <w:sz w:val="20"/>
                <w:szCs w:val="20"/>
              </w:rPr>
              <w:t xml:space="preserve">Réaliser une évaluation de l'empreinte des services (sites web, outils, logiciels, applications, </w:t>
            </w:r>
            <w:proofErr w:type="spellStart"/>
            <w:r>
              <w:rPr>
                <w:i/>
                <w:sz w:val="20"/>
                <w:szCs w:val="20"/>
              </w:rPr>
              <w:t>etc</w:t>
            </w:r>
            <w:proofErr w:type="spellEnd"/>
            <w:r>
              <w:rPr>
                <w:i/>
                <w:sz w:val="20"/>
                <w:szCs w:val="20"/>
              </w:rPr>
              <w:t xml:space="preserve">) </w:t>
            </w:r>
            <w:r>
              <w:rPr>
                <w:i/>
                <w:sz w:val="20"/>
                <w:szCs w:val="20"/>
              </w:rPr>
              <w:lastRenderedPageBreak/>
              <w:t>tous les ans (consommation et empreinte intrinsèque) et établir des recommandations</w:t>
            </w:r>
          </w:p>
        </w:tc>
        <w:tc>
          <w:tcPr>
            <w:tcW w:w="3500" w:type="dxa"/>
            <w:tcMar>
              <w:top w:w="100" w:type="dxa"/>
              <w:left w:w="100" w:type="dxa"/>
              <w:bottom w:w="100" w:type="dxa"/>
              <w:right w:w="100" w:type="dxa"/>
            </w:tcMar>
          </w:tcPr>
          <w:p w14:paraId="6D67FBCF" w14:textId="77777777" w:rsidR="001B0730" w:rsidRDefault="00000000">
            <w:r>
              <w:rPr>
                <w:sz w:val="20"/>
                <w:szCs w:val="20"/>
              </w:rPr>
              <w:lastRenderedPageBreak/>
              <w:t>2- Mesure et évaluation</w:t>
            </w:r>
          </w:p>
        </w:tc>
      </w:tr>
      <w:tr w:rsidR="001B0730" w14:paraId="2044B029" w14:textId="77777777">
        <w:trPr>
          <w:jc w:val="center"/>
        </w:trPr>
        <w:tc>
          <w:tcPr>
            <w:tcW w:w="3500" w:type="dxa"/>
            <w:tcMar>
              <w:top w:w="100" w:type="dxa"/>
              <w:left w:w="100" w:type="dxa"/>
              <w:bottom w:w="100" w:type="dxa"/>
              <w:right w:w="100" w:type="dxa"/>
            </w:tcMar>
          </w:tcPr>
          <w:p w14:paraId="72EDA39C" w14:textId="77777777" w:rsidR="001B0730" w:rsidRDefault="00000000">
            <w:r>
              <w:t>Mesurer l'adoption des bonnes pratiques du référentiel interne</w:t>
            </w:r>
          </w:p>
        </w:tc>
        <w:tc>
          <w:tcPr>
            <w:tcW w:w="3500" w:type="dxa"/>
            <w:tcMar>
              <w:top w:w="100" w:type="dxa"/>
              <w:left w:w="100" w:type="dxa"/>
              <w:bottom w:w="100" w:type="dxa"/>
              <w:right w:w="100" w:type="dxa"/>
            </w:tcMar>
          </w:tcPr>
          <w:p w14:paraId="21AA934E" w14:textId="77777777" w:rsidR="001B0730" w:rsidRDefault="00000000">
            <w:r>
              <w:rPr>
                <w:i/>
                <w:sz w:val="20"/>
                <w:szCs w:val="20"/>
              </w:rPr>
              <w:t>Établir des processus pour évaluer l'adoption des bonnes pratiques afin de mieux cibler les lacunes et les efforts de sensibilisation et formation</w:t>
            </w:r>
          </w:p>
        </w:tc>
        <w:tc>
          <w:tcPr>
            <w:tcW w:w="3500" w:type="dxa"/>
            <w:tcMar>
              <w:top w:w="100" w:type="dxa"/>
              <w:left w:w="100" w:type="dxa"/>
              <w:bottom w:w="100" w:type="dxa"/>
              <w:right w:w="100" w:type="dxa"/>
            </w:tcMar>
          </w:tcPr>
          <w:p w14:paraId="27E1E616" w14:textId="77777777" w:rsidR="001B0730" w:rsidRDefault="00000000">
            <w:r>
              <w:rPr>
                <w:sz w:val="20"/>
                <w:szCs w:val="20"/>
              </w:rPr>
              <w:t>1- Gouvernance</w:t>
            </w:r>
          </w:p>
        </w:tc>
      </w:tr>
      <w:tr w:rsidR="001B0730" w14:paraId="351C9983" w14:textId="77777777">
        <w:trPr>
          <w:jc w:val="center"/>
        </w:trPr>
        <w:tc>
          <w:tcPr>
            <w:tcW w:w="3500" w:type="dxa"/>
            <w:tcMar>
              <w:top w:w="100" w:type="dxa"/>
              <w:left w:w="100" w:type="dxa"/>
              <w:bottom w:w="100" w:type="dxa"/>
              <w:right w:w="100" w:type="dxa"/>
            </w:tcMar>
          </w:tcPr>
          <w:p w14:paraId="0626EA64" w14:textId="77777777" w:rsidR="001B0730" w:rsidRDefault="00000000">
            <w:r>
              <w:t xml:space="preserve">Outiller l'organisation </w:t>
            </w:r>
          </w:p>
        </w:tc>
        <w:tc>
          <w:tcPr>
            <w:tcW w:w="3500" w:type="dxa"/>
            <w:tcMar>
              <w:top w:w="100" w:type="dxa"/>
              <w:left w:w="100" w:type="dxa"/>
              <w:bottom w:w="100" w:type="dxa"/>
              <w:right w:w="100" w:type="dxa"/>
            </w:tcMar>
          </w:tcPr>
          <w:p w14:paraId="1DFABB79" w14:textId="77777777" w:rsidR="001B0730" w:rsidRDefault="00000000">
            <w:r>
              <w:rPr>
                <w:i/>
                <w:sz w:val="20"/>
                <w:szCs w:val="20"/>
              </w:rPr>
              <w:t>Faire la vigie et intégrer des outils permettant de mesurer et d'amplifier la performance en SN</w:t>
            </w:r>
          </w:p>
        </w:tc>
        <w:tc>
          <w:tcPr>
            <w:tcW w:w="3500" w:type="dxa"/>
            <w:tcMar>
              <w:top w:w="100" w:type="dxa"/>
              <w:left w:w="100" w:type="dxa"/>
              <w:bottom w:w="100" w:type="dxa"/>
              <w:right w:w="100" w:type="dxa"/>
            </w:tcMar>
          </w:tcPr>
          <w:p w14:paraId="36F6CCD3" w14:textId="77777777" w:rsidR="001B0730" w:rsidRDefault="00000000">
            <w:r>
              <w:rPr>
                <w:sz w:val="20"/>
                <w:szCs w:val="20"/>
              </w:rPr>
              <w:t>1- Gouvernance</w:t>
            </w:r>
          </w:p>
        </w:tc>
      </w:tr>
    </w:tbl>
    <w:p w14:paraId="253A0EC8" w14:textId="77777777" w:rsidR="001B0730" w:rsidRDefault="001B0730">
      <w:pPr>
        <w:widowControl w:val="0"/>
        <w:pBdr>
          <w:top w:val="nil"/>
          <w:left w:val="nil"/>
          <w:bottom w:val="nil"/>
          <w:right w:val="nil"/>
          <w:between w:val="nil"/>
        </w:pBdr>
        <w:rPr>
          <w:color w:val="000000"/>
        </w:rPr>
      </w:pPr>
    </w:p>
    <w:p w14:paraId="3F55E07A" w14:textId="77777777" w:rsidR="001B0730" w:rsidRDefault="001B0730">
      <w:pPr>
        <w:widowControl w:val="0"/>
        <w:pBdr>
          <w:top w:val="nil"/>
          <w:left w:val="nil"/>
          <w:bottom w:val="nil"/>
          <w:right w:val="nil"/>
          <w:between w:val="nil"/>
        </w:pBdr>
        <w:rPr>
          <w:color w:val="000000"/>
        </w:rPr>
      </w:pPr>
    </w:p>
    <w:p w14:paraId="5C918FA5" w14:textId="77777777" w:rsidR="001B0730" w:rsidRDefault="001B0730">
      <w:pPr>
        <w:rPr>
          <w:color w:val="000000"/>
        </w:rPr>
      </w:pPr>
    </w:p>
    <w:p w14:paraId="57409949" w14:textId="77777777" w:rsidR="001B0730" w:rsidRDefault="001B0730">
      <w:pPr>
        <w:rPr>
          <w:i/>
          <w:color w:val="E2E2E5"/>
          <w:sz w:val="20"/>
          <w:szCs w:val="20"/>
          <w:shd w:val="clear" w:color="auto" w:fill="1A1C1E"/>
        </w:rPr>
      </w:pPr>
    </w:p>
    <w:p w14:paraId="64457862" w14:textId="77777777" w:rsidR="001B0730" w:rsidRDefault="00000000">
      <w:pPr>
        <w:widowControl w:val="0"/>
        <w:pBdr>
          <w:top w:val="nil"/>
          <w:left w:val="nil"/>
          <w:bottom w:val="nil"/>
          <w:right w:val="nil"/>
          <w:between w:val="nil"/>
        </w:pBdr>
        <w:rPr>
          <w:color w:val="000000"/>
        </w:rPr>
      </w:pPr>
      <w:r>
        <w:br w:type="page"/>
      </w:r>
    </w:p>
    <w:p w14:paraId="582832E6" w14:textId="77777777" w:rsidR="001B0730" w:rsidRDefault="001B0730">
      <w:pPr>
        <w:rPr>
          <w:color w:val="000000"/>
        </w:rPr>
      </w:pPr>
    </w:p>
    <w:p w14:paraId="19357F98" w14:textId="77777777" w:rsidR="001B0730" w:rsidRDefault="00000000">
      <w:pPr>
        <w:pStyle w:val="Heading1"/>
        <w:rPr>
          <w:color w:val="000000"/>
          <w:sz w:val="22"/>
          <w:szCs w:val="22"/>
        </w:rPr>
      </w:pPr>
      <w:bookmarkStart w:id="3" w:name="_1n7sy0cun5zy" w:colFirst="0" w:colLast="0"/>
      <w:bookmarkEnd w:id="3"/>
      <w:r>
        <w:t>8 - Je souhaite sensibiliser ou former à la sobriété numérique.</w:t>
      </w:r>
    </w:p>
    <w:p w14:paraId="346C9C1F" w14:textId="77777777" w:rsidR="001B0730" w:rsidRDefault="001B0730"/>
    <w:tbl>
      <w:tblPr>
        <w:tblStyle w:val="a6"/>
        <w:tblW w:w="105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500"/>
        <w:gridCol w:w="3500"/>
      </w:tblGrid>
      <w:tr w:rsidR="001B0730" w14:paraId="54820045" w14:textId="77777777">
        <w:trPr>
          <w:jc w:val="center"/>
        </w:trPr>
        <w:tc>
          <w:tcPr>
            <w:tcW w:w="3500" w:type="dxa"/>
            <w:tcMar>
              <w:top w:w="100" w:type="dxa"/>
              <w:left w:w="100" w:type="dxa"/>
              <w:bottom w:w="100" w:type="dxa"/>
              <w:right w:w="100" w:type="dxa"/>
            </w:tcMar>
          </w:tcPr>
          <w:p w14:paraId="45AE2A0D" w14:textId="122F1061" w:rsidR="001B0730" w:rsidRDefault="00F9765D">
            <w:pPr>
              <w:widowControl w:val="0"/>
              <w:spacing w:line="240" w:lineRule="auto"/>
            </w:pPr>
            <w:r>
              <w:t>Bonnes pratiques</w:t>
            </w:r>
          </w:p>
        </w:tc>
        <w:tc>
          <w:tcPr>
            <w:tcW w:w="3500" w:type="dxa"/>
            <w:tcMar>
              <w:top w:w="100" w:type="dxa"/>
              <w:left w:w="100" w:type="dxa"/>
              <w:bottom w:w="100" w:type="dxa"/>
              <w:right w:w="100" w:type="dxa"/>
            </w:tcMar>
          </w:tcPr>
          <w:p w14:paraId="459017ED" w14:textId="77777777" w:rsidR="001B0730" w:rsidRDefault="00000000">
            <w:pPr>
              <w:widowControl w:val="0"/>
              <w:spacing w:line="240" w:lineRule="auto"/>
            </w:pPr>
            <w:r>
              <w:t>Descriptions</w:t>
            </w:r>
          </w:p>
        </w:tc>
        <w:tc>
          <w:tcPr>
            <w:tcW w:w="3500" w:type="dxa"/>
            <w:tcMar>
              <w:top w:w="100" w:type="dxa"/>
              <w:left w:w="100" w:type="dxa"/>
              <w:bottom w:w="100" w:type="dxa"/>
              <w:right w:w="100" w:type="dxa"/>
            </w:tcMar>
          </w:tcPr>
          <w:p w14:paraId="43F2CBD2" w14:textId="77777777" w:rsidR="001B0730" w:rsidRDefault="00000000">
            <w:pPr>
              <w:widowControl w:val="0"/>
              <w:spacing w:line="240" w:lineRule="auto"/>
            </w:pPr>
            <w:r>
              <w:t>Dimensions</w:t>
            </w:r>
          </w:p>
        </w:tc>
      </w:tr>
      <w:tr w:rsidR="001B0730" w14:paraId="6CAB479D" w14:textId="77777777">
        <w:trPr>
          <w:jc w:val="center"/>
        </w:trPr>
        <w:tc>
          <w:tcPr>
            <w:tcW w:w="3500" w:type="dxa"/>
            <w:tcMar>
              <w:top w:w="100" w:type="dxa"/>
              <w:left w:w="100" w:type="dxa"/>
              <w:bottom w:w="100" w:type="dxa"/>
              <w:right w:w="100" w:type="dxa"/>
            </w:tcMar>
          </w:tcPr>
          <w:p w14:paraId="1A512DC3" w14:textId="77777777" w:rsidR="001B0730" w:rsidRDefault="00000000">
            <w:r>
              <w:t>Encourager la recherche interdisciplinaire</w:t>
            </w:r>
          </w:p>
        </w:tc>
        <w:tc>
          <w:tcPr>
            <w:tcW w:w="3500" w:type="dxa"/>
            <w:tcMar>
              <w:top w:w="100" w:type="dxa"/>
              <w:left w:w="100" w:type="dxa"/>
              <w:bottom w:w="100" w:type="dxa"/>
              <w:right w:w="100" w:type="dxa"/>
            </w:tcMar>
          </w:tcPr>
          <w:p w14:paraId="37554B63" w14:textId="77777777" w:rsidR="001B0730" w:rsidRDefault="00000000">
            <w:r>
              <w:rPr>
                <w:i/>
                <w:sz w:val="20"/>
                <w:szCs w:val="20"/>
              </w:rPr>
              <w:t>Favoriser les collaborations entre informaticiens, écologues, sociologues et pédagogues pour développer des connaissances enrichies sur l’impact du numérique et des solutions écoresponsables</w:t>
            </w:r>
          </w:p>
        </w:tc>
        <w:tc>
          <w:tcPr>
            <w:tcW w:w="3500" w:type="dxa"/>
            <w:tcMar>
              <w:top w:w="100" w:type="dxa"/>
              <w:left w:w="100" w:type="dxa"/>
              <w:bottom w:w="100" w:type="dxa"/>
              <w:right w:w="100" w:type="dxa"/>
            </w:tcMar>
          </w:tcPr>
          <w:p w14:paraId="5E39DB9F" w14:textId="77777777" w:rsidR="001B0730" w:rsidRDefault="00000000">
            <w:r>
              <w:rPr>
                <w:sz w:val="20"/>
                <w:szCs w:val="20"/>
              </w:rPr>
              <w:t>6- Recherche</w:t>
            </w:r>
          </w:p>
        </w:tc>
      </w:tr>
      <w:tr w:rsidR="001B0730" w14:paraId="4A64EA8F" w14:textId="77777777">
        <w:trPr>
          <w:jc w:val="center"/>
        </w:trPr>
        <w:tc>
          <w:tcPr>
            <w:tcW w:w="3500" w:type="dxa"/>
            <w:tcMar>
              <w:top w:w="100" w:type="dxa"/>
              <w:left w:w="100" w:type="dxa"/>
              <w:bottom w:w="100" w:type="dxa"/>
              <w:right w:w="100" w:type="dxa"/>
            </w:tcMar>
          </w:tcPr>
          <w:p w14:paraId="01E73E9C" w14:textId="77777777" w:rsidR="001B0730" w:rsidRDefault="00000000">
            <w:r>
              <w:t>Établir et communiquer un référentiel interne</w:t>
            </w:r>
          </w:p>
        </w:tc>
        <w:tc>
          <w:tcPr>
            <w:tcW w:w="3500" w:type="dxa"/>
            <w:tcMar>
              <w:top w:w="100" w:type="dxa"/>
              <w:left w:w="100" w:type="dxa"/>
              <w:bottom w:w="100" w:type="dxa"/>
              <w:right w:w="100" w:type="dxa"/>
            </w:tcMar>
          </w:tcPr>
          <w:p w14:paraId="1F59A1CB" w14:textId="77777777" w:rsidR="001B0730" w:rsidRDefault="00000000">
            <w:r>
              <w:rPr>
                <w:i/>
                <w:sz w:val="20"/>
                <w:szCs w:val="20"/>
              </w:rPr>
              <w:t>Adapter les référentiels existants au contexte interne et le communiquer pour en favoriser l'adoption</w:t>
            </w:r>
          </w:p>
        </w:tc>
        <w:tc>
          <w:tcPr>
            <w:tcW w:w="3500" w:type="dxa"/>
            <w:tcMar>
              <w:top w:w="100" w:type="dxa"/>
              <w:left w:w="100" w:type="dxa"/>
              <w:bottom w:w="100" w:type="dxa"/>
              <w:right w:w="100" w:type="dxa"/>
            </w:tcMar>
          </w:tcPr>
          <w:p w14:paraId="4CA0A84A" w14:textId="77777777" w:rsidR="001B0730" w:rsidRDefault="00000000">
            <w:r>
              <w:rPr>
                <w:sz w:val="20"/>
                <w:szCs w:val="20"/>
              </w:rPr>
              <w:t>1- Gouvernance</w:t>
            </w:r>
          </w:p>
        </w:tc>
      </w:tr>
      <w:tr w:rsidR="001B0730" w14:paraId="63B6CBFE" w14:textId="77777777">
        <w:trPr>
          <w:jc w:val="center"/>
        </w:trPr>
        <w:tc>
          <w:tcPr>
            <w:tcW w:w="3500" w:type="dxa"/>
            <w:tcMar>
              <w:top w:w="100" w:type="dxa"/>
              <w:left w:w="100" w:type="dxa"/>
              <w:bottom w:w="100" w:type="dxa"/>
              <w:right w:w="100" w:type="dxa"/>
            </w:tcMar>
          </w:tcPr>
          <w:p w14:paraId="1C875B53" w14:textId="77777777" w:rsidR="001B0730" w:rsidRDefault="00000000">
            <w:r>
              <w:t xml:space="preserve">Établir et communiquer une liste des services numériques bas carbone recommandés </w:t>
            </w:r>
          </w:p>
        </w:tc>
        <w:tc>
          <w:tcPr>
            <w:tcW w:w="3500" w:type="dxa"/>
            <w:tcMar>
              <w:top w:w="100" w:type="dxa"/>
              <w:left w:w="100" w:type="dxa"/>
              <w:bottom w:w="100" w:type="dxa"/>
              <w:right w:w="100" w:type="dxa"/>
            </w:tcMar>
          </w:tcPr>
          <w:p w14:paraId="0FC73DCC" w14:textId="77777777" w:rsidR="001B0730" w:rsidRDefault="00000000">
            <w:r>
              <w:rPr>
                <w:i/>
                <w:sz w:val="20"/>
                <w:szCs w:val="20"/>
              </w:rPr>
              <w:t>Évaluer la liste des services numériques bas carbone les plus pertinents pour les principaux usages au sein de l'organisation et les communiquer aux parties prenantes afin d'en favoriser l'adoption</w:t>
            </w:r>
          </w:p>
        </w:tc>
        <w:tc>
          <w:tcPr>
            <w:tcW w:w="3500" w:type="dxa"/>
            <w:tcMar>
              <w:top w:w="100" w:type="dxa"/>
              <w:left w:w="100" w:type="dxa"/>
              <w:bottom w:w="100" w:type="dxa"/>
              <w:right w:w="100" w:type="dxa"/>
            </w:tcMar>
          </w:tcPr>
          <w:p w14:paraId="699A68E3" w14:textId="77777777" w:rsidR="001B0730" w:rsidRDefault="00000000">
            <w:r>
              <w:rPr>
                <w:sz w:val="20"/>
                <w:szCs w:val="20"/>
              </w:rPr>
              <w:t>1- Gouvernance</w:t>
            </w:r>
          </w:p>
        </w:tc>
      </w:tr>
      <w:tr w:rsidR="001B0730" w14:paraId="4C22A0FB" w14:textId="77777777">
        <w:trPr>
          <w:jc w:val="center"/>
        </w:trPr>
        <w:tc>
          <w:tcPr>
            <w:tcW w:w="3500" w:type="dxa"/>
            <w:tcMar>
              <w:top w:w="100" w:type="dxa"/>
              <w:left w:w="100" w:type="dxa"/>
              <w:bottom w:w="100" w:type="dxa"/>
              <w:right w:w="100" w:type="dxa"/>
            </w:tcMar>
          </w:tcPr>
          <w:p w14:paraId="76BCAEF4" w14:textId="77777777" w:rsidR="001B0730" w:rsidRDefault="00000000">
            <w:r>
              <w:t>Établir et habiliter un comité de pilotage</w:t>
            </w:r>
          </w:p>
        </w:tc>
        <w:tc>
          <w:tcPr>
            <w:tcW w:w="3500" w:type="dxa"/>
            <w:tcMar>
              <w:top w:w="100" w:type="dxa"/>
              <w:left w:w="100" w:type="dxa"/>
              <w:bottom w:w="100" w:type="dxa"/>
              <w:right w:w="100" w:type="dxa"/>
            </w:tcMar>
          </w:tcPr>
          <w:p w14:paraId="3F90C51F" w14:textId="77777777" w:rsidR="001B0730" w:rsidRDefault="00000000">
            <w:r>
              <w:rPr>
                <w:i/>
                <w:sz w:val="20"/>
                <w:szCs w:val="20"/>
              </w:rPr>
              <w:t xml:space="preserve">Former un groupe d'acteurs influents dans différents budgets avec </w:t>
            </w:r>
            <w:proofErr w:type="spellStart"/>
            <w:r>
              <w:rPr>
                <w:i/>
                <w:sz w:val="20"/>
                <w:szCs w:val="20"/>
              </w:rPr>
              <w:t>un.e</w:t>
            </w:r>
            <w:proofErr w:type="spellEnd"/>
            <w:r>
              <w:rPr>
                <w:i/>
                <w:sz w:val="20"/>
                <w:szCs w:val="20"/>
              </w:rPr>
              <w:t xml:space="preserve"> responsable pour piloter le plan de SN et y attribuer des budgets à la hauteur des ambitions affichées</w:t>
            </w:r>
          </w:p>
        </w:tc>
        <w:tc>
          <w:tcPr>
            <w:tcW w:w="3500" w:type="dxa"/>
            <w:tcMar>
              <w:top w:w="100" w:type="dxa"/>
              <w:left w:w="100" w:type="dxa"/>
              <w:bottom w:w="100" w:type="dxa"/>
              <w:right w:w="100" w:type="dxa"/>
            </w:tcMar>
          </w:tcPr>
          <w:p w14:paraId="2FE7011E" w14:textId="77777777" w:rsidR="001B0730" w:rsidRDefault="00000000">
            <w:r>
              <w:rPr>
                <w:sz w:val="20"/>
                <w:szCs w:val="20"/>
              </w:rPr>
              <w:t>1- Gouvernance</w:t>
            </w:r>
          </w:p>
        </w:tc>
      </w:tr>
      <w:tr w:rsidR="001B0730" w14:paraId="61E0AFC9" w14:textId="77777777">
        <w:trPr>
          <w:jc w:val="center"/>
        </w:trPr>
        <w:tc>
          <w:tcPr>
            <w:tcW w:w="3500" w:type="dxa"/>
            <w:tcMar>
              <w:top w:w="100" w:type="dxa"/>
              <w:left w:w="100" w:type="dxa"/>
              <w:bottom w:w="100" w:type="dxa"/>
              <w:right w:w="100" w:type="dxa"/>
            </w:tcMar>
          </w:tcPr>
          <w:p w14:paraId="6786A927" w14:textId="77777777" w:rsidR="001B0730" w:rsidRDefault="00000000">
            <w:r>
              <w:t>Établir un rapport annuel de la performance SN</w:t>
            </w:r>
          </w:p>
        </w:tc>
        <w:tc>
          <w:tcPr>
            <w:tcW w:w="3500" w:type="dxa"/>
            <w:tcMar>
              <w:top w:w="100" w:type="dxa"/>
              <w:left w:w="100" w:type="dxa"/>
              <w:bottom w:w="100" w:type="dxa"/>
              <w:right w:w="100" w:type="dxa"/>
            </w:tcMar>
          </w:tcPr>
          <w:p w14:paraId="3414338E" w14:textId="77777777" w:rsidR="001B0730" w:rsidRDefault="00000000">
            <w:r>
              <w:rPr>
                <w:i/>
                <w:sz w:val="20"/>
                <w:szCs w:val="20"/>
              </w:rPr>
              <w:t>Rédiger un rapport interne et public pour montrer vos avancées en SN</w:t>
            </w:r>
          </w:p>
        </w:tc>
        <w:tc>
          <w:tcPr>
            <w:tcW w:w="3500" w:type="dxa"/>
            <w:tcMar>
              <w:top w:w="100" w:type="dxa"/>
              <w:left w:w="100" w:type="dxa"/>
              <w:bottom w:w="100" w:type="dxa"/>
              <w:right w:w="100" w:type="dxa"/>
            </w:tcMar>
          </w:tcPr>
          <w:p w14:paraId="060AA821" w14:textId="77777777" w:rsidR="001B0730" w:rsidRDefault="00000000">
            <w:r>
              <w:rPr>
                <w:sz w:val="20"/>
                <w:szCs w:val="20"/>
              </w:rPr>
              <w:t>1- Gouvernance</w:t>
            </w:r>
          </w:p>
        </w:tc>
      </w:tr>
      <w:tr w:rsidR="001B0730" w14:paraId="4E66E24A" w14:textId="77777777">
        <w:trPr>
          <w:jc w:val="center"/>
        </w:trPr>
        <w:tc>
          <w:tcPr>
            <w:tcW w:w="3500" w:type="dxa"/>
            <w:tcMar>
              <w:top w:w="100" w:type="dxa"/>
              <w:left w:w="100" w:type="dxa"/>
              <w:bottom w:w="100" w:type="dxa"/>
              <w:right w:w="100" w:type="dxa"/>
            </w:tcMar>
          </w:tcPr>
          <w:p w14:paraId="03C49BE6" w14:textId="77777777" w:rsidR="001B0730" w:rsidRDefault="00000000">
            <w:r>
              <w:t>Former des ambassadeurs Sobriété Numérique</w:t>
            </w:r>
          </w:p>
        </w:tc>
        <w:tc>
          <w:tcPr>
            <w:tcW w:w="3500" w:type="dxa"/>
            <w:tcMar>
              <w:top w:w="100" w:type="dxa"/>
              <w:left w:w="100" w:type="dxa"/>
              <w:bottom w:w="100" w:type="dxa"/>
              <w:right w:w="100" w:type="dxa"/>
            </w:tcMar>
          </w:tcPr>
          <w:p w14:paraId="289D6CEB" w14:textId="77777777" w:rsidR="001B0730" w:rsidRDefault="00000000">
            <w:r>
              <w:rPr>
                <w:i/>
                <w:sz w:val="20"/>
                <w:szCs w:val="20"/>
              </w:rPr>
              <w:t>Servir de référent local aux équipes / employés, et offrir un espace d'échange et d'apprentissage. Propager le message avec bienveillance autour de soi et collecter également les freins, défis, limites, enjeux rencontrés par les employés et d'autres</w:t>
            </w:r>
          </w:p>
        </w:tc>
        <w:tc>
          <w:tcPr>
            <w:tcW w:w="3500" w:type="dxa"/>
            <w:tcMar>
              <w:top w:w="100" w:type="dxa"/>
              <w:left w:w="100" w:type="dxa"/>
              <w:bottom w:w="100" w:type="dxa"/>
              <w:right w:w="100" w:type="dxa"/>
            </w:tcMar>
          </w:tcPr>
          <w:p w14:paraId="3A684D36" w14:textId="77777777" w:rsidR="001B0730" w:rsidRDefault="00000000">
            <w:r>
              <w:rPr>
                <w:sz w:val="20"/>
                <w:szCs w:val="20"/>
              </w:rPr>
              <w:t>5- Formation</w:t>
            </w:r>
          </w:p>
        </w:tc>
      </w:tr>
      <w:tr w:rsidR="001B0730" w14:paraId="395317FF" w14:textId="77777777">
        <w:trPr>
          <w:jc w:val="center"/>
        </w:trPr>
        <w:tc>
          <w:tcPr>
            <w:tcW w:w="3500" w:type="dxa"/>
            <w:tcMar>
              <w:top w:w="100" w:type="dxa"/>
              <w:left w:w="100" w:type="dxa"/>
              <w:bottom w:w="100" w:type="dxa"/>
              <w:right w:w="100" w:type="dxa"/>
            </w:tcMar>
          </w:tcPr>
          <w:p w14:paraId="5C040A45" w14:textId="77777777" w:rsidR="001B0730" w:rsidRDefault="00000000">
            <w:r>
              <w:lastRenderedPageBreak/>
              <w:t>Former les enseignants aux principes de sobriété numérique</w:t>
            </w:r>
          </w:p>
        </w:tc>
        <w:tc>
          <w:tcPr>
            <w:tcW w:w="3500" w:type="dxa"/>
            <w:tcMar>
              <w:top w:w="100" w:type="dxa"/>
              <w:left w:w="100" w:type="dxa"/>
              <w:bottom w:w="100" w:type="dxa"/>
              <w:right w:w="100" w:type="dxa"/>
            </w:tcMar>
          </w:tcPr>
          <w:p w14:paraId="220AEDA8" w14:textId="77777777" w:rsidR="001B0730" w:rsidRDefault="00000000">
            <w:r>
              <w:rPr>
                <w:i/>
                <w:sz w:val="20"/>
                <w:szCs w:val="20"/>
              </w:rPr>
              <w:t>Intégrer des modules de formation pour leur permettre de repenser leurs pratiques pédagogiques afin de minimiser l'empreinte numérique, en proposant des alternatives éco-responsables</w:t>
            </w:r>
          </w:p>
        </w:tc>
        <w:tc>
          <w:tcPr>
            <w:tcW w:w="3500" w:type="dxa"/>
            <w:tcMar>
              <w:top w:w="100" w:type="dxa"/>
              <w:left w:w="100" w:type="dxa"/>
              <w:bottom w:w="100" w:type="dxa"/>
              <w:right w:w="100" w:type="dxa"/>
            </w:tcMar>
          </w:tcPr>
          <w:p w14:paraId="184C11C9" w14:textId="77777777" w:rsidR="001B0730" w:rsidRDefault="00000000">
            <w:r>
              <w:rPr>
                <w:sz w:val="20"/>
                <w:szCs w:val="20"/>
              </w:rPr>
              <w:t>5- Formation</w:t>
            </w:r>
          </w:p>
        </w:tc>
      </w:tr>
      <w:tr w:rsidR="001B0730" w14:paraId="60B6180B" w14:textId="77777777">
        <w:trPr>
          <w:jc w:val="center"/>
        </w:trPr>
        <w:tc>
          <w:tcPr>
            <w:tcW w:w="3500" w:type="dxa"/>
            <w:tcMar>
              <w:top w:w="100" w:type="dxa"/>
              <w:left w:w="100" w:type="dxa"/>
              <w:bottom w:w="100" w:type="dxa"/>
              <w:right w:w="100" w:type="dxa"/>
            </w:tcMar>
          </w:tcPr>
          <w:p w14:paraId="43CC7285" w14:textId="77777777" w:rsidR="001B0730" w:rsidRDefault="00000000">
            <w:r>
              <w:t>Promouvoir l'accès libre aux publications</w:t>
            </w:r>
          </w:p>
        </w:tc>
        <w:tc>
          <w:tcPr>
            <w:tcW w:w="3500" w:type="dxa"/>
            <w:tcMar>
              <w:top w:w="100" w:type="dxa"/>
              <w:left w:w="100" w:type="dxa"/>
              <w:bottom w:w="100" w:type="dxa"/>
              <w:right w:w="100" w:type="dxa"/>
            </w:tcMar>
          </w:tcPr>
          <w:p w14:paraId="15522CD7" w14:textId="77777777" w:rsidR="001B0730" w:rsidRDefault="00000000">
            <w:r>
              <w:rPr>
                <w:i/>
                <w:sz w:val="20"/>
                <w:szCs w:val="20"/>
              </w:rPr>
              <w:t>Mettre à disposition les recherches sur la sobriété numérique en accès libre afin que tous les acteurs puissent en bénéficier sans barrières financières ou techniques</w:t>
            </w:r>
          </w:p>
        </w:tc>
        <w:tc>
          <w:tcPr>
            <w:tcW w:w="3500" w:type="dxa"/>
            <w:tcMar>
              <w:top w:w="100" w:type="dxa"/>
              <w:left w:w="100" w:type="dxa"/>
              <w:bottom w:w="100" w:type="dxa"/>
              <w:right w:w="100" w:type="dxa"/>
            </w:tcMar>
          </w:tcPr>
          <w:p w14:paraId="0C8EE364" w14:textId="77777777" w:rsidR="001B0730" w:rsidRDefault="00000000">
            <w:r>
              <w:rPr>
                <w:sz w:val="20"/>
                <w:szCs w:val="20"/>
              </w:rPr>
              <w:t>6- Recherche</w:t>
            </w:r>
          </w:p>
        </w:tc>
      </w:tr>
      <w:tr w:rsidR="001B0730" w14:paraId="55A1232F" w14:textId="77777777">
        <w:trPr>
          <w:jc w:val="center"/>
        </w:trPr>
        <w:tc>
          <w:tcPr>
            <w:tcW w:w="3500" w:type="dxa"/>
            <w:tcMar>
              <w:top w:w="100" w:type="dxa"/>
              <w:left w:w="100" w:type="dxa"/>
              <w:bottom w:w="100" w:type="dxa"/>
              <w:right w:w="100" w:type="dxa"/>
            </w:tcMar>
          </w:tcPr>
          <w:p w14:paraId="44C537FC" w14:textId="77777777" w:rsidR="001B0730" w:rsidRDefault="00000000">
            <w:r>
              <w:t>Sensibiliser et former les acteurs</w:t>
            </w:r>
          </w:p>
        </w:tc>
        <w:tc>
          <w:tcPr>
            <w:tcW w:w="3500" w:type="dxa"/>
            <w:tcMar>
              <w:top w:w="100" w:type="dxa"/>
              <w:left w:w="100" w:type="dxa"/>
              <w:bottom w:w="100" w:type="dxa"/>
              <w:right w:w="100" w:type="dxa"/>
            </w:tcMar>
          </w:tcPr>
          <w:p w14:paraId="5D019E27" w14:textId="77777777" w:rsidR="001B0730" w:rsidRDefault="00000000">
            <w:r>
              <w:rPr>
                <w:i/>
                <w:sz w:val="20"/>
                <w:szCs w:val="20"/>
              </w:rPr>
              <w:t>Intégrer la sobriété numérique dans les cursus universitaires, les formations professionnelles et les séminaires de recherche pour diffuser largement ces connaissances</w:t>
            </w:r>
          </w:p>
        </w:tc>
        <w:tc>
          <w:tcPr>
            <w:tcW w:w="3500" w:type="dxa"/>
            <w:tcMar>
              <w:top w:w="100" w:type="dxa"/>
              <w:left w:w="100" w:type="dxa"/>
              <w:bottom w:w="100" w:type="dxa"/>
              <w:right w:w="100" w:type="dxa"/>
            </w:tcMar>
          </w:tcPr>
          <w:p w14:paraId="221D35AE" w14:textId="77777777" w:rsidR="001B0730" w:rsidRDefault="00000000">
            <w:r>
              <w:rPr>
                <w:sz w:val="20"/>
                <w:szCs w:val="20"/>
              </w:rPr>
              <w:t>6- Recherche</w:t>
            </w:r>
          </w:p>
        </w:tc>
      </w:tr>
      <w:tr w:rsidR="001B0730" w14:paraId="217825CF" w14:textId="77777777">
        <w:trPr>
          <w:jc w:val="center"/>
        </w:trPr>
        <w:tc>
          <w:tcPr>
            <w:tcW w:w="3500" w:type="dxa"/>
            <w:tcMar>
              <w:top w:w="100" w:type="dxa"/>
              <w:left w:w="100" w:type="dxa"/>
              <w:bottom w:w="100" w:type="dxa"/>
              <w:right w:w="100" w:type="dxa"/>
            </w:tcMar>
          </w:tcPr>
          <w:p w14:paraId="21CFAD26" w14:textId="77777777" w:rsidR="001B0730" w:rsidRDefault="00000000">
            <w:r>
              <w:t>Sensibiliser les étudiants et enseignants</w:t>
            </w:r>
          </w:p>
        </w:tc>
        <w:tc>
          <w:tcPr>
            <w:tcW w:w="3500" w:type="dxa"/>
            <w:tcMar>
              <w:top w:w="100" w:type="dxa"/>
              <w:left w:w="100" w:type="dxa"/>
              <w:bottom w:w="100" w:type="dxa"/>
              <w:right w:w="100" w:type="dxa"/>
            </w:tcMar>
          </w:tcPr>
          <w:p w14:paraId="373253F0" w14:textId="4A608D11" w:rsidR="001B0730" w:rsidRDefault="00000000">
            <w:r>
              <w:rPr>
                <w:i/>
                <w:sz w:val="20"/>
                <w:szCs w:val="20"/>
              </w:rPr>
              <w:t xml:space="preserve">Intégrer la sobriété numérique aux cours en expliquant son impact environnemental et en encourageant des pratiques responsables. Par exemple, initier </w:t>
            </w:r>
            <w:proofErr w:type="gramStart"/>
            <w:r>
              <w:rPr>
                <w:i/>
                <w:sz w:val="20"/>
                <w:szCs w:val="20"/>
              </w:rPr>
              <w:t>des réflexions sur</w:t>
            </w:r>
            <w:proofErr w:type="gramEnd"/>
            <w:r>
              <w:rPr>
                <w:i/>
                <w:sz w:val="20"/>
                <w:szCs w:val="20"/>
              </w:rPr>
              <w:t>: -l'adoption de gestes simples pour prolonger la vie des équipements numériques et l'entretien "logiciel" pour alléger le fonctionnement d'applications inutilisées - l’usage des moteurs de recherche, les plateformes de streaming et le stockage cloud, afin de promouvoir des comportements numériques plus économes.</w:t>
            </w:r>
            <w:r w:rsidR="00DA5307">
              <w:rPr>
                <w:i/>
                <w:sz w:val="20"/>
                <w:szCs w:val="20"/>
              </w:rPr>
              <w:t xml:space="preserve"> </w:t>
            </w:r>
            <w:r>
              <w:rPr>
                <w:i/>
                <w:sz w:val="20"/>
                <w:szCs w:val="20"/>
              </w:rPr>
              <w:t>Diffuser régulièrement des capsules de sensibilisation et faire des bilans réguliers d’entretien numérique</w:t>
            </w:r>
          </w:p>
        </w:tc>
        <w:tc>
          <w:tcPr>
            <w:tcW w:w="3500" w:type="dxa"/>
            <w:tcMar>
              <w:top w:w="100" w:type="dxa"/>
              <w:left w:w="100" w:type="dxa"/>
              <w:bottom w:w="100" w:type="dxa"/>
              <w:right w:w="100" w:type="dxa"/>
            </w:tcMar>
          </w:tcPr>
          <w:p w14:paraId="20CADC75" w14:textId="77777777" w:rsidR="001B0730" w:rsidRDefault="00000000">
            <w:r>
              <w:rPr>
                <w:sz w:val="20"/>
                <w:szCs w:val="20"/>
              </w:rPr>
              <w:t>5- Formation</w:t>
            </w:r>
          </w:p>
        </w:tc>
      </w:tr>
    </w:tbl>
    <w:p w14:paraId="194F3D9C" w14:textId="77777777" w:rsidR="001B0730" w:rsidRDefault="001B0730">
      <w:pPr>
        <w:widowControl w:val="0"/>
        <w:pBdr>
          <w:top w:val="nil"/>
          <w:left w:val="nil"/>
          <w:bottom w:val="nil"/>
          <w:right w:val="nil"/>
          <w:between w:val="nil"/>
        </w:pBdr>
        <w:rPr>
          <w:color w:val="000000"/>
        </w:rPr>
      </w:pPr>
    </w:p>
    <w:p w14:paraId="0FFB411F" w14:textId="77777777" w:rsidR="001B0730" w:rsidRDefault="001B0730">
      <w:pPr>
        <w:widowControl w:val="0"/>
        <w:pBdr>
          <w:top w:val="nil"/>
          <w:left w:val="nil"/>
          <w:bottom w:val="nil"/>
          <w:right w:val="nil"/>
          <w:between w:val="nil"/>
        </w:pBdr>
        <w:rPr>
          <w:color w:val="000000"/>
        </w:rPr>
      </w:pPr>
    </w:p>
    <w:p w14:paraId="34FE05A0" w14:textId="77777777" w:rsidR="001B0730" w:rsidRDefault="001B0730">
      <w:pPr>
        <w:rPr>
          <w:color w:val="000000"/>
        </w:rPr>
      </w:pPr>
    </w:p>
    <w:p w14:paraId="102A89EB" w14:textId="77777777" w:rsidR="001B0730" w:rsidRDefault="001B0730">
      <w:pPr>
        <w:rPr>
          <w:i/>
          <w:color w:val="E2E2E5"/>
          <w:sz w:val="20"/>
          <w:szCs w:val="20"/>
          <w:shd w:val="clear" w:color="auto" w:fill="1A1C1E"/>
        </w:rPr>
      </w:pPr>
    </w:p>
    <w:sectPr w:rsidR="001B073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BF66" w14:textId="77777777" w:rsidR="001C4401" w:rsidRDefault="001C4401">
      <w:pPr>
        <w:spacing w:line="240" w:lineRule="auto"/>
      </w:pPr>
      <w:r>
        <w:separator/>
      </w:r>
    </w:p>
  </w:endnote>
  <w:endnote w:type="continuationSeparator" w:id="0">
    <w:p w14:paraId="7472FFC2" w14:textId="77777777" w:rsidR="001C4401" w:rsidRDefault="001C4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82A" w14:textId="77777777" w:rsidR="00F9765D" w:rsidRDefault="00F9765D" w:rsidP="00F9765D">
    <w:r>
      <w:t>Référentiel de bonnes pratiques en sobriété numérique</w:t>
    </w:r>
  </w:p>
  <w:p w14:paraId="7EE28462" w14:textId="062C8FE5" w:rsidR="001B0730" w:rsidRDefault="00F9765D" w:rsidP="00F9765D">
    <w:r>
      <w:t xml:space="preserve">Fièrement conçu par Université de Montréal, </w:t>
    </w:r>
    <w:r>
      <w:rPr>
        <w:sz w:val="23"/>
        <w:szCs w:val="23"/>
        <w:shd w:val="clear" w:color="auto" w:fill="FFFFFF"/>
      </w:rPr>
      <w:t xml:space="preserve">Polytechnique Montréal, HEC Montréal, Université TÉLUQ et le </w:t>
    </w:r>
    <w:r>
      <w:t>Collectif Numérique Responsable et Soutenable</w:t>
    </w:r>
  </w:p>
  <w:p w14:paraId="640C1C2E" w14:textId="08B6B6B3" w:rsidR="00F9765D" w:rsidRPr="00F9765D" w:rsidRDefault="00F9765D" w:rsidP="00F9765D">
    <w:r>
      <w:t>Version du 19 septembre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4F83" w14:textId="77777777" w:rsidR="001C4401" w:rsidRDefault="001C4401">
      <w:pPr>
        <w:spacing w:line="240" w:lineRule="auto"/>
      </w:pPr>
      <w:r>
        <w:separator/>
      </w:r>
    </w:p>
  </w:footnote>
  <w:footnote w:type="continuationSeparator" w:id="0">
    <w:p w14:paraId="62D2396E" w14:textId="77777777" w:rsidR="001C4401" w:rsidRDefault="001C44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10032"/>
    <w:multiLevelType w:val="multilevel"/>
    <w:tmpl w:val="3D0A0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D537CE"/>
    <w:multiLevelType w:val="multilevel"/>
    <w:tmpl w:val="B86C7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9948461">
    <w:abstractNumId w:val="1"/>
  </w:num>
  <w:num w:numId="2" w16cid:durableId="56172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30"/>
    <w:rsid w:val="001B0730"/>
    <w:rsid w:val="001C4401"/>
    <w:rsid w:val="00367142"/>
    <w:rsid w:val="00632C13"/>
    <w:rsid w:val="009F5C66"/>
    <w:rsid w:val="00BB5955"/>
    <w:rsid w:val="00BD1AD0"/>
    <w:rsid w:val="00D11835"/>
    <w:rsid w:val="00DA5307"/>
    <w:rsid w:val="00F23371"/>
    <w:rsid w:val="00F97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F987B4"/>
  <w15:docId w15:val="{AC51FE50-E9A1-2349-B406-076AC14F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9765D"/>
    <w:pPr>
      <w:tabs>
        <w:tab w:val="center" w:pos="4680"/>
        <w:tab w:val="right" w:pos="9360"/>
      </w:tabs>
      <w:spacing w:line="240" w:lineRule="auto"/>
    </w:pPr>
  </w:style>
  <w:style w:type="character" w:customStyle="1" w:styleId="HeaderChar">
    <w:name w:val="Header Char"/>
    <w:basedOn w:val="DefaultParagraphFont"/>
    <w:link w:val="Header"/>
    <w:uiPriority w:val="99"/>
    <w:rsid w:val="00F9765D"/>
  </w:style>
  <w:style w:type="paragraph" w:styleId="Footer">
    <w:name w:val="footer"/>
    <w:basedOn w:val="Normal"/>
    <w:link w:val="FooterChar"/>
    <w:uiPriority w:val="99"/>
    <w:unhideWhenUsed/>
    <w:rsid w:val="00F9765D"/>
    <w:pPr>
      <w:tabs>
        <w:tab w:val="center" w:pos="4680"/>
        <w:tab w:val="right" w:pos="9360"/>
      </w:tabs>
      <w:spacing w:line="240" w:lineRule="auto"/>
    </w:pPr>
  </w:style>
  <w:style w:type="character" w:customStyle="1" w:styleId="FooterChar">
    <w:name w:val="Footer Char"/>
    <w:basedOn w:val="DefaultParagraphFont"/>
    <w:link w:val="Footer"/>
    <w:uiPriority w:val="99"/>
    <w:rsid w:val="00F9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Léa Koch</cp:lastModifiedBy>
  <cp:revision>4</cp:revision>
  <dcterms:created xsi:type="dcterms:W3CDTF">2025-09-17T16:51:00Z</dcterms:created>
  <dcterms:modified xsi:type="dcterms:W3CDTF">2025-11-11T18:42:00Z</dcterms:modified>
</cp:coreProperties>
</file>